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24"/>
        </w:rPr>
      </w:pPr>
      <w:r>
        <w:rPr>
          <w:rFonts w:ascii="宋体" w:hAnsi="宋体" w:eastAsia="宋体"/>
          <w:b/>
          <w:sz w:val="24"/>
        </w:rPr>
        <w:t>豆制品生产许可证审查细则</w:t>
      </w:r>
    </w:p>
    <w:sdt>
      <w:sdtPr>
        <w:rPr>
          <w:rFonts w:ascii="宋体" w:hAnsi="宋体" w:eastAsiaTheme="minorEastAsia" w:cstheme="minorBidi"/>
          <w:color w:val="auto"/>
          <w:kern w:val="2"/>
          <w:sz w:val="24"/>
          <w:szCs w:val="24"/>
          <w:lang w:val="zh-CN"/>
        </w:rPr>
        <w:id w:val="-1767296777"/>
        <w:docPartObj>
          <w:docPartGallery w:val="Table of Contents"/>
          <w:docPartUnique/>
        </w:docPartObj>
      </w:sdtPr>
      <w:sdtEndPr>
        <w:rPr>
          <w:rFonts w:ascii="宋体" w:hAnsi="宋体" w:eastAsiaTheme="minorEastAsia" w:cstheme="minorBidi"/>
          <w:b/>
          <w:bCs/>
          <w:color w:val="auto"/>
          <w:kern w:val="2"/>
          <w:sz w:val="24"/>
          <w:szCs w:val="24"/>
          <w:lang w:val="zh-CN"/>
        </w:rPr>
      </w:sdtEndPr>
      <w:sdtContent>
        <w:p>
          <w:pPr>
            <w:pStyle w:val="16"/>
            <w:spacing w:before="0" w:line="360" w:lineRule="auto"/>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lang w:val="zh-CN"/>
              <w14:textFill>
                <w14:solidFill>
                  <w14:schemeClr w14:val="tx1"/>
                </w14:solidFill>
              </w14:textFill>
            </w:rPr>
            <w:t>目录</w:t>
          </w:r>
        </w:p>
        <w:p>
          <w:pPr>
            <w:pStyle w:val="5"/>
            <w:tabs>
              <w:tab w:val="right" w:leader="dot" w:pos="8720"/>
            </w:tabs>
            <w:spacing w:line="360" w:lineRule="auto"/>
            <w:rPr>
              <w:rFonts w:ascii="宋体" w:hAnsi="宋体" w:eastAsia="宋体"/>
              <w:sz w:val="24"/>
            </w:rPr>
          </w:pPr>
          <w:r>
            <w:rPr>
              <w:rFonts w:ascii="宋体" w:hAnsi="宋体" w:eastAsia="宋体"/>
              <w:sz w:val="24"/>
            </w:rPr>
            <w:fldChar w:fldCharType="begin"/>
          </w:r>
          <w:r>
            <w:rPr>
              <w:rFonts w:ascii="宋体" w:hAnsi="宋体" w:eastAsia="宋体"/>
              <w:sz w:val="24"/>
            </w:rPr>
            <w:instrText xml:space="preserve"> TOC \o "1-3" \h \z \u </w:instrText>
          </w:r>
          <w:r>
            <w:rPr>
              <w:rFonts w:ascii="宋体" w:hAnsi="宋体" w:eastAsia="宋体"/>
              <w:sz w:val="24"/>
            </w:rPr>
            <w:fldChar w:fldCharType="separate"/>
          </w:r>
          <w:r>
            <w:fldChar w:fldCharType="begin"/>
          </w:r>
          <w:r>
            <w:instrText xml:space="preserve"> HYPERLINK \l "_Toc10453174" </w:instrText>
          </w:r>
          <w:r>
            <w:fldChar w:fldCharType="separate"/>
          </w:r>
          <w:r>
            <w:rPr>
              <w:rStyle w:val="12"/>
              <w:rFonts w:hint="eastAsia" w:ascii="宋体" w:hAnsi="宋体" w:eastAsia="宋体"/>
              <w:sz w:val="24"/>
            </w:rPr>
            <w:t>一、发证产品范围及申证单元</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_Toc10453174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"_Toc10453175" </w:instrText>
          </w:r>
          <w:r>
            <w:fldChar w:fldCharType="separate"/>
          </w:r>
          <w:r>
            <w:rPr>
              <w:rStyle w:val="12"/>
              <w:rFonts w:hint="eastAsia" w:ascii="宋体" w:hAnsi="宋体" w:eastAsia="宋体"/>
              <w:sz w:val="24"/>
            </w:rPr>
            <w:t>二、基本生产流程及关键控制环节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_Toc10453175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"_Toc10453176" </w:instrText>
          </w:r>
          <w:r>
            <w:fldChar w:fldCharType="separate"/>
          </w:r>
          <w:r>
            <w:rPr>
              <w:rStyle w:val="12"/>
              <w:rFonts w:hint="eastAsia" w:ascii="宋体" w:hAnsi="宋体" w:eastAsia="宋体"/>
              <w:sz w:val="24"/>
            </w:rPr>
            <w:t>（一）基本生产流程</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_Toc10453176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"_Toc10453177" </w:instrText>
          </w:r>
          <w:r>
            <w:fldChar w:fldCharType="separate"/>
          </w:r>
          <w:r>
            <w:rPr>
              <w:rStyle w:val="12"/>
              <w:rFonts w:hint="eastAsia" w:ascii="宋体" w:hAnsi="宋体" w:eastAsia="宋体"/>
              <w:sz w:val="24"/>
            </w:rPr>
            <w:t>（二）关键控制环节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_Toc10453177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"_Toc10453178" </w:instrText>
          </w:r>
          <w:r>
            <w:fldChar w:fldCharType="separate"/>
          </w:r>
          <w:r>
            <w:rPr>
              <w:rStyle w:val="12"/>
              <w:rFonts w:hint="eastAsia" w:ascii="宋体" w:hAnsi="宋体" w:eastAsia="宋体"/>
              <w:sz w:val="24"/>
            </w:rPr>
            <w:t>（三）容易出现的质量安全问题</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_Toc10453178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"_Toc10453179" </w:instrText>
          </w:r>
          <w:r>
            <w:fldChar w:fldCharType="separate"/>
          </w:r>
          <w:r>
            <w:rPr>
              <w:rStyle w:val="12"/>
              <w:rFonts w:hint="eastAsia" w:ascii="宋体" w:hAnsi="宋体" w:eastAsia="宋体"/>
              <w:sz w:val="24"/>
            </w:rPr>
            <w:t>三、必备的生产资源</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_Toc10453179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"_Toc10453180" </w:instrText>
          </w:r>
          <w:r>
            <w:fldChar w:fldCharType="separate"/>
          </w:r>
          <w:r>
            <w:rPr>
              <w:rStyle w:val="12"/>
              <w:rFonts w:hint="eastAsia" w:ascii="宋体" w:hAnsi="宋体" w:eastAsia="宋体"/>
              <w:sz w:val="24"/>
            </w:rPr>
            <w:t>（一）生产场所</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_Toc10453180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"_Toc10453181" </w:instrText>
          </w:r>
          <w:r>
            <w:fldChar w:fldCharType="separate"/>
          </w:r>
          <w:r>
            <w:rPr>
              <w:rStyle w:val="12"/>
              <w:rFonts w:hint="eastAsia" w:ascii="宋体" w:hAnsi="宋体" w:eastAsia="宋体"/>
              <w:sz w:val="24"/>
            </w:rPr>
            <w:t>（二）必备的生产设备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_Toc10453181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"_Toc10453182" </w:instrText>
          </w:r>
          <w:r>
            <w:fldChar w:fldCharType="separate"/>
          </w:r>
          <w:r>
            <w:rPr>
              <w:rStyle w:val="12"/>
              <w:rFonts w:hint="eastAsia" w:ascii="宋体" w:hAnsi="宋体" w:eastAsia="宋体"/>
              <w:sz w:val="24"/>
            </w:rPr>
            <w:t>四、产品相关标准</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_Toc10453182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"_Toc10453183" </w:instrText>
          </w:r>
          <w:r>
            <w:fldChar w:fldCharType="separate"/>
          </w:r>
          <w:r>
            <w:rPr>
              <w:rStyle w:val="12"/>
              <w:rFonts w:hint="eastAsia" w:ascii="宋体" w:hAnsi="宋体" w:eastAsia="宋体"/>
              <w:sz w:val="24"/>
            </w:rPr>
            <w:t>五、原辅材料的有关要求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_Toc10453183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"_Toc10453184" </w:instrText>
          </w:r>
          <w:r>
            <w:fldChar w:fldCharType="separate"/>
          </w:r>
          <w:r>
            <w:rPr>
              <w:rStyle w:val="12"/>
              <w:rFonts w:hint="eastAsia" w:ascii="宋体" w:hAnsi="宋体" w:eastAsia="宋体"/>
              <w:sz w:val="24"/>
            </w:rPr>
            <w:t>六、必备的出厂检验设备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_Toc10453184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"_Toc10453185" </w:instrText>
          </w:r>
          <w:r>
            <w:fldChar w:fldCharType="separate"/>
          </w:r>
          <w:r>
            <w:rPr>
              <w:rStyle w:val="12"/>
              <w:rFonts w:hint="eastAsia" w:ascii="宋体" w:hAnsi="宋体" w:eastAsia="宋体"/>
              <w:sz w:val="24"/>
            </w:rPr>
            <w:t>（一）发酵性豆制品。</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_Toc10453185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"_Toc10453186" </w:instrText>
          </w:r>
          <w:r>
            <w:fldChar w:fldCharType="separate"/>
          </w:r>
          <w:r>
            <w:rPr>
              <w:rStyle w:val="12"/>
              <w:rFonts w:hint="eastAsia" w:ascii="宋体" w:hAnsi="宋体" w:eastAsia="宋体"/>
              <w:sz w:val="24"/>
            </w:rPr>
            <w:t>（二）非发酵性豆制品。</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_Toc10453186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"_Toc10453187" </w:instrText>
          </w:r>
          <w:r>
            <w:fldChar w:fldCharType="separate"/>
          </w:r>
          <w:r>
            <w:rPr>
              <w:rStyle w:val="12"/>
              <w:rFonts w:hint="eastAsia" w:ascii="宋体" w:hAnsi="宋体" w:eastAsia="宋体"/>
              <w:sz w:val="24"/>
            </w:rPr>
            <w:t>七、检验项目</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_Toc10453187 \h </w:instrText>
          </w:r>
          <w:r>
            <w:rPr>
              <w:rFonts w:ascii="宋体" w:hAnsi="宋体" w:eastAsia="宋体"/>
              <w:sz w:val="24"/>
            </w:rPr>
            <w:fldChar w:fldCharType="separate"/>
          </w:r>
          <w:r>
            <w:rPr>
              <w:rFonts w:ascii="宋体" w:hAnsi="宋体" w:eastAsia="宋体"/>
              <w:sz w:val="24"/>
            </w:rPr>
            <w:t>5</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"_Toc10453188" </w:instrText>
          </w:r>
          <w:r>
            <w:fldChar w:fldCharType="separate"/>
          </w:r>
          <w:r>
            <w:rPr>
              <w:rStyle w:val="12"/>
              <w:rFonts w:hint="eastAsia" w:ascii="宋体" w:hAnsi="宋体" w:eastAsia="宋体"/>
              <w:sz w:val="24"/>
            </w:rPr>
            <w:t>八、抽样方法</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_Toc10453188 \h </w:instrText>
          </w:r>
          <w:r>
            <w:rPr>
              <w:rFonts w:ascii="宋体" w:hAnsi="宋体" w:eastAsia="宋体"/>
              <w:sz w:val="24"/>
            </w:rPr>
            <w:fldChar w:fldCharType="separate"/>
          </w:r>
          <w:r>
            <w:rPr>
              <w:rFonts w:ascii="宋体" w:hAnsi="宋体" w:eastAsia="宋体"/>
              <w:sz w:val="24"/>
            </w:rPr>
            <w:t>7</w:t>
          </w:r>
          <w:r>
            <w:rPr>
              <w:rFonts w:ascii="宋体" w:hAnsi="宋体" w:eastAsia="宋体"/>
              <w:sz w:val="24"/>
            </w:rPr>
            <w:fldChar w:fldCharType="end"/>
          </w:r>
          <w:r>
            <w:rPr>
              <w:rFonts w:ascii="宋体" w:hAnsi="宋体" w:eastAsia="宋体"/>
              <w:sz w:val="24"/>
            </w:rPr>
            <w:fldChar w:fldCharType="end"/>
          </w:r>
        </w:p>
        <w:p>
          <w:pPr>
            <w:pStyle w:val="5"/>
            <w:tabs>
              <w:tab w:val="right" w:leader="dot" w:pos="8720"/>
            </w:tabs>
            <w:spacing w:line="360" w:lineRule="auto"/>
            <w:rPr>
              <w:rFonts w:ascii="宋体" w:hAnsi="宋体" w:eastAsia="宋体"/>
              <w:sz w:val="24"/>
            </w:rPr>
          </w:pPr>
          <w:r>
            <w:fldChar w:fldCharType="begin"/>
          </w:r>
          <w:r>
            <w:instrText xml:space="preserve"> HYPERLINK \l "_Toc10453189" </w:instrText>
          </w:r>
          <w:r>
            <w:fldChar w:fldCharType="separate"/>
          </w:r>
          <w:r>
            <w:rPr>
              <w:rStyle w:val="12"/>
              <w:rFonts w:hint="eastAsia" w:ascii="宋体" w:hAnsi="宋体" w:eastAsia="宋体"/>
              <w:sz w:val="24"/>
            </w:rPr>
            <w:t>九、其它要求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_Toc10453189 \h </w:instrText>
          </w:r>
          <w:r>
            <w:rPr>
              <w:rFonts w:ascii="宋体" w:hAnsi="宋体" w:eastAsia="宋体"/>
              <w:sz w:val="24"/>
            </w:rPr>
            <w:fldChar w:fldCharType="separate"/>
          </w:r>
          <w:r>
            <w:rPr>
              <w:rFonts w:ascii="宋体" w:hAnsi="宋体" w:eastAsia="宋体"/>
              <w:sz w:val="24"/>
            </w:rPr>
            <w:t>8</w:t>
          </w:r>
          <w:r>
            <w:rPr>
              <w:rFonts w:ascii="宋体" w:hAnsi="宋体" w:eastAsia="宋体"/>
              <w:sz w:val="24"/>
            </w:rPr>
            <w:fldChar w:fldCharType="end"/>
          </w:r>
          <w:r>
            <w:rPr>
              <w:rFonts w:ascii="宋体" w:hAnsi="宋体" w:eastAsia="宋体"/>
              <w:sz w:val="24"/>
            </w:rPr>
            <w:fldChar w:fldCharType="end"/>
          </w:r>
        </w:p>
        <w:p>
          <w:pPr>
            <w:spacing w:line="360" w:lineRule="auto"/>
            <w:rPr>
              <w:rFonts w:ascii="宋体" w:hAnsi="宋体" w:eastAsia="宋体"/>
              <w:sz w:val="24"/>
            </w:rPr>
          </w:pPr>
          <w:r>
            <w:rPr>
              <w:rFonts w:ascii="宋体" w:hAnsi="宋体" w:eastAsia="宋体"/>
              <w:b/>
              <w:bCs/>
              <w:sz w:val="24"/>
              <w:lang w:val="zh-CN"/>
            </w:rPr>
            <w:fldChar w:fldCharType="end"/>
          </w:r>
        </w:p>
      </w:sdtContent>
    </w:sdt>
    <w:p>
      <w:pPr>
        <w:widowControl/>
        <w:jc w:val="left"/>
        <w:rPr>
          <w:rFonts w:ascii="宋体" w:hAnsi="宋体" w:eastAsia="宋体"/>
          <w:b/>
          <w:sz w:val="24"/>
        </w:rPr>
      </w:pPr>
      <w:bookmarkStart w:id="0" w:name="_Toc27854"/>
      <w:r>
        <w:rPr>
          <w:rFonts w:ascii="宋体" w:hAnsi="宋体" w:eastAsia="宋体"/>
          <w:b/>
          <w:sz w:val="24"/>
        </w:rPr>
        <w:br w:type="page"/>
      </w:r>
    </w:p>
    <w:p>
      <w:pPr>
        <w:spacing w:line="360" w:lineRule="auto"/>
        <w:jc w:val="center"/>
        <w:rPr>
          <w:rFonts w:ascii="宋体" w:hAnsi="宋体" w:eastAsia="宋体"/>
          <w:b/>
          <w:sz w:val="24"/>
        </w:rPr>
      </w:pPr>
      <w:r>
        <w:rPr>
          <w:rFonts w:ascii="宋体" w:hAnsi="宋体" w:eastAsia="宋体"/>
          <w:b/>
          <w:sz w:val="24"/>
        </w:rPr>
        <w:t>豆制品生产许可证审查细则</w:t>
      </w:r>
      <w:bookmarkEnd w:id="0"/>
    </w:p>
    <w:p>
      <w:pPr>
        <w:pStyle w:val="3"/>
        <w:spacing w:before="0" w:after="0" w:line="360" w:lineRule="auto"/>
        <w:rPr>
          <w:rFonts w:ascii="宋体" w:hAnsi="宋体" w:eastAsia="宋体"/>
          <w:sz w:val="24"/>
        </w:rPr>
      </w:pPr>
      <w:bookmarkStart w:id="1" w:name="_Toc10453174"/>
      <w:r>
        <w:rPr>
          <w:rFonts w:ascii="宋体" w:hAnsi="宋体" w:eastAsia="宋体"/>
          <w:sz w:val="24"/>
        </w:rPr>
        <w:t>一、发证产品范围及申证单元</w:t>
      </w:r>
      <w:bookmarkEnd w:id="1"/>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豆制品是指以大豆或其它杂豆为原料经加工制成的产品。根据加工工艺的不同分为发酵性豆制品和非发酵性豆制品两大类。</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实施食品生产许可证管理的发酵性豆制品是指以大豆或其它杂豆为原料经发酵制成的豆制食品，包括腐乳、豆豉、纳豆等产品。</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实施食品生产许可证管理的非发酵性豆制品是指以大豆或其它杂豆为原料制成的豆制食品。包括豆腐、干豆腐、腐竹、豆浆等产品。</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实施食品生产许可证管理的豆制品分为2个申证单元，即发酵性豆制品和非发酵性豆制品。</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在生产许可证上应注明获证产品名称和申证单元名称，即发酵性豆制品、非发酵性豆制品。豆制品生产许可证有效期为3年，其产品类别编号为2501。</w:t>
      </w:r>
    </w:p>
    <w:p>
      <w:pPr>
        <w:pStyle w:val="3"/>
        <w:spacing w:before="0" w:after="0" w:line="360" w:lineRule="auto"/>
        <w:rPr>
          <w:rFonts w:ascii="宋体" w:hAnsi="宋体" w:eastAsia="宋体"/>
          <w:sz w:val="24"/>
        </w:rPr>
      </w:pPr>
      <w:bookmarkStart w:id="2" w:name="_Toc10453175"/>
      <w:r>
        <w:rPr>
          <w:rFonts w:ascii="宋体" w:hAnsi="宋体" w:eastAsia="宋体"/>
          <w:sz w:val="24"/>
        </w:rPr>
        <w:t>二、基本生产流程及关键控制环节</w:t>
      </w:r>
      <w:bookmarkEnd w:id="2"/>
    </w:p>
    <w:p>
      <w:pPr>
        <w:pStyle w:val="4"/>
        <w:spacing w:before="0" w:after="0" w:line="360" w:lineRule="auto"/>
        <w:rPr>
          <w:rFonts w:hint="eastAsia" w:ascii="宋体" w:hAnsi="宋体" w:eastAsia="宋体"/>
          <w:sz w:val="24"/>
          <w:szCs w:val="24"/>
        </w:rPr>
      </w:pPr>
      <w:bookmarkStart w:id="3" w:name="_Toc10453176"/>
      <w:r>
        <w:rPr>
          <w:rFonts w:ascii="宋体" w:hAnsi="宋体" w:eastAsia="宋体"/>
          <w:sz w:val="24"/>
          <w:szCs w:val="24"/>
        </w:rPr>
        <w:t>（一）基本生产流程</w:t>
      </w:r>
      <w:bookmarkEnd w:id="3"/>
    </w:p>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fldChar w:fldCharType="begin"/>
      </w:r>
      <w:r>
        <w:rPr>
          <w:rFonts w:ascii="宋体" w:hAnsi="宋体" w:eastAsia="宋体" w:cs="宋体"/>
          <w:color w:val="000000"/>
          <w:kern w:val="0"/>
          <w:sz w:val="24"/>
        </w:rPr>
        <w:instrText xml:space="preserve"> INCLUDEPICTURE "http://www.bjtsb.gov.cn/UPLOAD/20060921/200692110483189.gif" \* MERGEFORMATINET </w:instrText>
      </w:r>
      <w:r>
        <w:rPr>
          <w:rFonts w:ascii="宋体" w:hAnsi="宋体" w:eastAsia="宋体" w:cs="宋体"/>
          <w:color w:val="000000"/>
          <w:kern w:val="0"/>
          <w:sz w:val="24"/>
        </w:rPr>
        <w:fldChar w:fldCharType="separate"/>
      </w:r>
      <w:r>
        <w:rPr>
          <w:rFonts w:ascii="宋体" w:hAnsi="宋体" w:eastAsia="宋体" w:cs="宋体"/>
          <w:color w:val="000000"/>
          <w:kern w:val="0"/>
          <w:sz w:val="24"/>
        </w:rPr>
        <w:drawing>
          <wp:inline distT="0" distB="0" distL="114300" distR="114300">
            <wp:extent cx="6087110" cy="7354570"/>
            <wp:effectExtent l="0" t="0" r="8890" b="17780"/>
            <wp:docPr id="1" name="图片 1" descr="20069211048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0692110483189"/>
                    <pic:cNvPicPr>
                      <a:picLocks noChangeAspect="1"/>
                    </pic:cNvPicPr>
                  </pic:nvPicPr>
                  <pic:blipFill>
                    <a:blip r:embed="rId6"/>
                    <a:stretch>
                      <a:fillRect/>
                    </a:stretch>
                  </pic:blipFill>
                  <pic:spPr>
                    <a:xfrm>
                      <a:off x="0" y="0"/>
                      <a:ext cx="6087110" cy="7354570"/>
                    </a:xfrm>
                    <a:prstGeom prst="rect">
                      <a:avLst/>
                    </a:prstGeom>
                    <a:noFill/>
                    <a:ln w="9525">
                      <a:noFill/>
                    </a:ln>
                  </pic:spPr>
                </pic:pic>
              </a:graphicData>
            </a:graphic>
          </wp:inline>
        </w:drawing>
      </w:r>
      <w:r>
        <w:rPr>
          <w:rFonts w:ascii="宋体" w:hAnsi="宋体" w:eastAsia="宋体" w:cs="宋体"/>
          <w:color w:val="000000"/>
          <w:kern w:val="0"/>
          <w:sz w:val="24"/>
        </w:rPr>
        <w:fldChar w:fldCharType="end"/>
      </w:r>
    </w:p>
    <w:p>
      <w:pPr>
        <w:pStyle w:val="4"/>
        <w:spacing w:before="0" w:after="0" w:line="360" w:lineRule="auto"/>
        <w:rPr>
          <w:rFonts w:hint="eastAsia" w:ascii="宋体" w:hAnsi="宋体" w:eastAsia="宋体"/>
          <w:sz w:val="24"/>
          <w:szCs w:val="24"/>
        </w:rPr>
      </w:pPr>
      <w:bookmarkStart w:id="4" w:name="_Toc10453177"/>
      <w:r>
        <w:rPr>
          <w:rFonts w:ascii="宋体" w:hAnsi="宋体" w:eastAsia="宋体"/>
          <w:sz w:val="24"/>
          <w:szCs w:val="24"/>
        </w:rPr>
        <w:t>（二）关键控制环节</w:t>
      </w:r>
      <w:bookmarkEnd w:id="4"/>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1. 选料和清洗。</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2. 菌种的选择、发酵的温度和时间。</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3. 煮浆温度和时间。</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 凝固成型。</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5. 生产加工中环境卫生的控制。 </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6. 成品的贮藏和运输。</w:t>
      </w:r>
    </w:p>
    <w:p>
      <w:pPr>
        <w:pStyle w:val="4"/>
        <w:spacing w:before="0" w:after="0" w:line="360" w:lineRule="auto"/>
        <w:rPr>
          <w:rFonts w:hint="eastAsia" w:ascii="宋体" w:hAnsi="宋体" w:eastAsia="宋体"/>
          <w:sz w:val="24"/>
          <w:szCs w:val="24"/>
        </w:rPr>
      </w:pPr>
      <w:bookmarkStart w:id="5" w:name="_Toc10453178"/>
      <w:r>
        <w:rPr>
          <w:rFonts w:ascii="宋体" w:hAnsi="宋体" w:eastAsia="宋体"/>
          <w:sz w:val="24"/>
          <w:szCs w:val="24"/>
        </w:rPr>
        <w:t>（三）容易出现的质量安全问题</w:t>
      </w:r>
      <w:bookmarkEnd w:id="5"/>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 xml:space="preserve">1．杂菌的污染，造成半成品和成品的腐败变质； </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2. 蛋白质和氨基酸态氮含量过低；</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3. 食品添加剂的超量和超范围使用；</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 加工中使用非食品原料。</w:t>
      </w:r>
    </w:p>
    <w:p>
      <w:pPr>
        <w:pStyle w:val="3"/>
        <w:spacing w:before="0" w:after="0" w:line="360" w:lineRule="auto"/>
        <w:rPr>
          <w:rFonts w:ascii="宋体" w:hAnsi="宋体" w:eastAsia="宋体"/>
          <w:sz w:val="24"/>
        </w:rPr>
      </w:pPr>
      <w:bookmarkStart w:id="6" w:name="_Toc10453179"/>
      <w:r>
        <w:rPr>
          <w:rFonts w:ascii="宋体" w:hAnsi="宋体" w:eastAsia="宋体"/>
          <w:sz w:val="24"/>
        </w:rPr>
        <w:t>三、必备的生产资源</w:t>
      </w:r>
      <w:bookmarkEnd w:id="6"/>
    </w:p>
    <w:p>
      <w:pPr>
        <w:pStyle w:val="4"/>
        <w:spacing w:before="0" w:after="0" w:line="360" w:lineRule="auto"/>
        <w:rPr>
          <w:rFonts w:hint="eastAsia" w:ascii="宋体" w:hAnsi="宋体" w:eastAsia="宋体"/>
          <w:sz w:val="24"/>
          <w:szCs w:val="24"/>
        </w:rPr>
      </w:pPr>
      <w:bookmarkStart w:id="7" w:name="_Toc10453180"/>
      <w:r>
        <w:rPr>
          <w:rFonts w:ascii="宋体" w:hAnsi="宋体" w:eastAsia="宋体"/>
          <w:sz w:val="24"/>
          <w:szCs w:val="24"/>
        </w:rPr>
        <w:t>（一）生产场所</w:t>
      </w:r>
      <w:bookmarkEnd w:id="7"/>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厂房设计合理，应有与生产产品相适应的原料库、加工车间、成品库、包装车间，生产发酵豆制品的企业应有相应的发酵场所。加工车间必须具备良好的通风，包装车间应密闭有消毒措施，生产场所应与生活区分开。</w:t>
      </w:r>
    </w:p>
    <w:p>
      <w:pPr>
        <w:pStyle w:val="4"/>
        <w:spacing w:before="0" w:after="0" w:line="360" w:lineRule="auto"/>
        <w:rPr>
          <w:rFonts w:hint="eastAsia" w:ascii="宋体" w:hAnsi="宋体" w:eastAsia="宋体"/>
          <w:sz w:val="24"/>
          <w:szCs w:val="24"/>
        </w:rPr>
      </w:pPr>
      <w:bookmarkStart w:id="8" w:name="_Toc10453181"/>
      <w:r>
        <w:rPr>
          <w:rFonts w:ascii="宋体" w:hAnsi="宋体" w:eastAsia="宋体"/>
          <w:sz w:val="24"/>
          <w:szCs w:val="24"/>
        </w:rPr>
        <w:t>（二）必备的生产设备</w:t>
      </w:r>
      <w:bookmarkEnd w:id="8"/>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1. 原料处理设备（如浸泡罐等）；</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2. 制浆设备(如磨浆机、煮浆罐等)；</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3. 蒸煮设备(如蒸煮罐等)；</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 成型设备(如切块机、压榨机等)；</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5. 发酵设施(如发酵笼、屉等)；</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6. 干燥设施(如干燥机等)；</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7. 包装设施(如包装机等)。</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除以上设备以外，生产企业根据其不同的生产工艺流程，必须具备其相应的生产设备和设施。如灭菌、油炸等相关设备。</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腐乳生产企业必备生产设备为：1、2、4、5、7。</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豆豉、纳豆生产企业必备生产设备为：1、3、5、7。</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豆浆、内酯豆腐等生产企业必备生产设备为：1、2、7。</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豆腐、干豆腐等生产企业必备生产设备为：1、2、4、7。</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腐竹生产企业必备生产设备为：1、2、4、6、7。（分装企业必备生产设备为：7。）</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油炸等豆制品生产企业必备生产设备为：1、2、4、7。（外购豆胚的企业必备生产设备为：7。）</w:t>
      </w:r>
    </w:p>
    <w:p>
      <w:pPr>
        <w:pStyle w:val="3"/>
        <w:spacing w:before="0" w:after="0" w:line="360" w:lineRule="auto"/>
        <w:rPr>
          <w:rFonts w:ascii="宋体" w:hAnsi="宋体" w:eastAsia="宋体"/>
          <w:sz w:val="24"/>
        </w:rPr>
      </w:pPr>
      <w:bookmarkStart w:id="9" w:name="_Toc10453182"/>
      <w:r>
        <w:rPr>
          <w:rFonts w:ascii="宋体" w:hAnsi="宋体" w:eastAsia="宋体"/>
          <w:sz w:val="24"/>
        </w:rPr>
        <w:t>四、产品相关标准</w:t>
      </w:r>
      <w:bookmarkEnd w:id="9"/>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GB2712-2003《发酵性豆制品卫生标准》；GB2711-2003《非发酵性豆制品及面筋卫生标准》；SB/T10170-1993《腐乳》;相关的地方标准、经备案现行有效的企业标准。</w:t>
      </w:r>
    </w:p>
    <w:p>
      <w:pPr>
        <w:pStyle w:val="3"/>
        <w:spacing w:before="0" w:after="0" w:line="360" w:lineRule="auto"/>
        <w:rPr>
          <w:rFonts w:ascii="宋体" w:hAnsi="宋体" w:eastAsia="宋体"/>
          <w:sz w:val="24"/>
        </w:rPr>
      </w:pPr>
      <w:bookmarkStart w:id="10" w:name="_Toc10453183"/>
      <w:r>
        <w:rPr>
          <w:rFonts w:ascii="宋体" w:hAnsi="宋体" w:eastAsia="宋体"/>
          <w:sz w:val="24"/>
        </w:rPr>
        <w:t>五、原辅材料的有关要求</w:t>
      </w:r>
      <w:bookmarkEnd w:id="10"/>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企业生产豆制品所用的原辅材料、包装材料必须符合国家标准、行业标准及有关规定；不得使用变质或未去除有害物质的原料、辅料，油炸豆制品所用油脂应符合相关卫生标准要求，禁止反复使用。发酵豆制品所使用的菌种应防止污染和变异产毒。不得将次硫酸氢钠甲醛（吊白块）等工业原料作为食品添加剂在豆制品加工中使用。所使用的稳定剂和凝固剂必须符合食品添加剂使用卫生标准规定。</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如使用的原辅材料为实施生产许可证管理的产品，必须选用获得生产许可证企业生产的合格产品。</w:t>
      </w:r>
    </w:p>
    <w:p>
      <w:pPr>
        <w:pStyle w:val="3"/>
        <w:spacing w:before="0" w:after="0" w:line="360" w:lineRule="auto"/>
        <w:rPr>
          <w:rFonts w:ascii="宋体" w:hAnsi="宋体" w:eastAsia="宋体"/>
          <w:sz w:val="24"/>
        </w:rPr>
      </w:pPr>
      <w:bookmarkStart w:id="11" w:name="_Toc10453184"/>
      <w:r>
        <w:rPr>
          <w:rFonts w:ascii="宋体" w:hAnsi="宋体" w:eastAsia="宋体"/>
          <w:sz w:val="24"/>
        </w:rPr>
        <w:t>六、必备的出厂检验设备</w:t>
      </w:r>
      <w:bookmarkEnd w:id="11"/>
    </w:p>
    <w:p>
      <w:pPr>
        <w:pStyle w:val="4"/>
        <w:spacing w:before="0" w:after="0" w:line="360" w:lineRule="auto"/>
        <w:rPr>
          <w:rFonts w:ascii="宋体" w:hAnsi="宋体" w:eastAsia="宋体"/>
          <w:sz w:val="24"/>
          <w:szCs w:val="24"/>
        </w:rPr>
      </w:pPr>
      <w:bookmarkStart w:id="12" w:name="_Toc10453185"/>
      <w:r>
        <w:rPr>
          <w:rFonts w:ascii="宋体" w:hAnsi="宋体" w:eastAsia="宋体"/>
          <w:sz w:val="24"/>
          <w:szCs w:val="24"/>
        </w:rPr>
        <w:t>（一）发酵性豆制品。</w:t>
      </w:r>
      <w:bookmarkEnd w:id="12"/>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1. 分析天平（0.1mg）； 2. 酸度计（PH0.01）； 3. 天平(0.1g)； 4. 干燥箱； 5. 灭菌锅； 6. 微生物培养箱；7. 无菌室或超净工作台； 8. 生物显微镜。</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注：豆豉、纳豆生产企业出厂检验设备不需要酸度计。</w:t>
      </w:r>
    </w:p>
    <w:p>
      <w:pPr>
        <w:pStyle w:val="4"/>
        <w:spacing w:before="0" w:after="0" w:line="360" w:lineRule="auto"/>
        <w:rPr>
          <w:rFonts w:ascii="宋体" w:hAnsi="宋体" w:eastAsia="宋体"/>
          <w:sz w:val="24"/>
          <w:szCs w:val="24"/>
        </w:rPr>
      </w:pPr>
      <w:bookmarkStart w:id="13" w:name="_Toc10453186"/>
      <w:r>
        <w:rPr>
          <w:rFonts w:ascii="宋体" w:hAnsi="宋体" w:eastAsia="宋体"/>
          <w:sz w:val="24"/>
          <w:szCs w:val="24"/>
        </w:rPr>
        <w:t>（二）非发酵性豆制品。</w:t>
      </w:r>
      <w:bookmarkEnd w:id="13"/>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1. 干燥箱;  2. 天平(0.1g);  3. 灭菌锅;  4. 微生物培养箱;  5. 无菌室或超净工作台;  6. 生物显微镜。</w:t>
      </w:r>
    </w:p>
    <w:p>
      <w:pPr>
        <w:pStyle w:val="3"/>
        <w:spacing w:before="0" w:after="0" w:line="360" w:lineRule="auto"/>
        <w:rPr>
          <w:rFonts w:ascii="宋体" w:hAnsi="宋体" w:eastAsia="宋体"/>
          <w:sz w:val="24"/>
        </w:rPr>
      </w:pPr>
      <w:bookmarkStart w:id="14" w:name="_Toc10453187"/>
      <w:r>
        <w:rPr>
          <w:rFonts w:ascii="宋体" w:hAnsi="宋体" w:eastAsia="宋体"/>
          <w:sz w:val="24"/>
        </w:rPr>
        <w:t>七、检验项目</w:t>
      </w:r>
      <w:bookmarkEnd w:id="14"/>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豆制品的发证检验、监督检验、出厂检验分别按照下表中所列出的相应检验项目进行。出厂检验项目中注有“*”标记的，企业应当每年检验2次。</w:t>
      </w:r>
    </w:p>
    <w:p>
      <w:pPr>
        <w:widowControl/>
        <w:spacing w:line="360" w:lineRule="auto"/>
        <w:jc w:val="center"/>
        <w:rPr>
          <w:rFonts w:ascii="宋体" w:hAnsi="宋体" w:eastAsia="宋体" w:cs="宋体"/>
          <w:color w:val="000000"/>
          <w:kern w:val="0"/>
          <w:sz w:val="24"/>
        </w:rPr>
      </w:pPr>
      <w:r>
        <w:rPr>
          <w:rFonts w:ascii="宋体" w:hAnsi="宋体" w:eastAsia="宋体" w:cs="宋体"/>
          <w:b/>
          <w:bCs/>
          <w:color w:val="000000"/>
          <w:kern w:val="0"/>
          <w:sz w:val="24"/>
        </w:rPr>
        <w:t>表1  发酵性豆制品质量检验项目表</w:t>
      </w:r>
    </w:p>
    <w:tbl>
      <w:tblPr>
        <w:tblStyle w:val="10"/>
        <w:tblW w:w="9000" w:type="dxa"/>
        <w:jc w:val="center"/>
        <w:tblCellSpacing w:w="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0" w:type="dxa"/>
          <w:left w:w="0" w:type="dxa"/>
          <w:bottom w:w="0" w:type="dxa"/>
          <w:right w:w="0" w:type="dxa"/>
        </w:tblCellMar>
      </w:tblPr>
      <w:tblGrid>
        <w:gridCol w:w="800"/>
        <w:gridCol w:w="3859"/>
        <w:gridCol w:w="678"/>
        <w:gridCol w:w="769"/>
        <w:gridCol w:w="829"/>
        <w:gridCol w:w="2065"/>
      </w:tblGrid>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800"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序号</w:t>
            </w:r>
          </w:p>
        </w:tc>
        <w:tc>
          <w:tcPr>
            <w:tcW w:w="3859"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检验项目</w:t>
            </w:r>
          </w:p>
        </w:tc>
        <w:tc>
          <w:tcPr>
            <w:tcW w:w="67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发证</w:t>
            </w:r>
          </w:p>
        </w:tc>
        <w:tc>
          <w:tcPr>
            <w:tcW w:w="769"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监督</w:t>
            </w:r>
          </w:p>
        </w:tc>
        <w:tc>
          <w:tcPr>
            <w:tcW w:w="829"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出厂</w:t>
            </w:r>
          </w:p>
        </w:tc>
        <w:tc>
          <w:tcPr>
            <w:tcW w:w="2065"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备注</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标签</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2</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净含量</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3</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感官</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4</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水分</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腐乳检测项目</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氨基酸态氮</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腐乳检测项目</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6</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水溶性无盐固形物</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腐乳检测项目</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7</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食盐</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腐乳检测项目</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8</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总砷</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9</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铅</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黄曲霉毒素B</w:t>
            </w:r>
            <w:r>
              <w:rPr>
                <w:rFonts w:ascii="宋体" w:hAnsi="宋体" w:eastAsia="宋体" w:cs="宋体"/>
                <w:color w:val="000000"/>
                <w:kern w:val="0"/>
                <w:sz w:val="24"/>
                <w:vertAlign w:val="subscript"/>
              </w:rPr>
              <w:t>1</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11</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大肠菌群</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12</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致病菌（沙门氏菌、志贺氏菌、金黄色葡萄球菌）</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13</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糖精钠</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14</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甜蜜素</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15</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苯甲酸</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16</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山梨酸</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800"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17</w:t>
            </w:r>
          </w:p>
        </w:tc>
        <w:tc>
          <w:tcPr>
            <w:tcW w:w="385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脱氢乙酸</w:t>
            </w:r>
          </w:p>
        </w:tc>
        <w:tc>
          <w:tcPr>
            <w:tcW w:w="67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76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829"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206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bl>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注：依据标准SB/T10170、GB2760、GB7718、GB2712。</w:t>
      </w:r>
    </w:p>
    <w:p>
      <w:pPr>
        <w:widowControl/>
        <w:spacing w:line="360" w:lineRule="auto"/>
        <w:jc w:val="left"/>
        <w:rPr>
          <w:rFonts w:ascii="宋体" w:hAnsi="宋体" w:eastAsia="宋体" w:cs="宋体"/>
          <w:color w:val="000000"/>
          <w:kern w:val="0"/>
          <w:sz w:val="24"/>
        </w:rPr>
      </w:pPr>
    </w:p>
    <w:p>
      <w:pPr>
        <w:widowControl/>
        <w:spacing w:line="360" w:lineRule="auto"/>
        <w:jc w:val="center"/>
        <w:rPr>
          <w:rFonts w:ascii="宋体" w:hAnsi="宋体" w:eastAsia="宋体" w:cs="宋体"/>
          <w:color w:val="000000"/>
          <w:kern w:val="0"/>
          <w:sz w:val="24"/>
        </w:rPr>
      </w:pPr>
      <w:r>
        <w:rPr>
          <w:rFonts w:ascii="宋体" w:hAnsi="宋体" w:eastAsia="宋体" w:cs="宋体"/>
          <w:b/>
          <w:bCs/>
          <w:color w:val="000000"/>
          <w:kern w:val="0"/>
          <w:sz w:val="24"/>
        </w:rPr>
        <w:t>表2  非发酵性豆制品质量检验项目表</w:t>
      </w:r>
    </w:p>
    <w:tbl>
      <w:tblPr>
        <w:tblStyle w:val="10"/>
        <w:tblW w:w="9000" w:type="dxa"/>
        <w:jc w:val="center"/>
        <w:tblCellSpacing w:w="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0" w:type="dxa"/>
          <w:left w:w="0" w:type="dxa"/>
          <w:bottom w:w="0" w:type="dxa"/>
          <w:right w:w="0" w:type="dxa"/>
        </w:tblCellMar>
      </w:tblPr>
      <w:tblGrid>
        <w:gridCol w:w="697"/>
        <w:gridCol w:w="2648"/>
        <w:gridCol w:w="757"/>
        <w:gridCol w:w="668"/>
        <w:gridCol w:w="668"/>
        <w:gridCol w:w="3562"/>
      </w:tblGrid>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序号</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检验项目</w:t>
            </w:r>
          </w:p>
        </w:tc>
        <w:tc>
          <w:tcPr>
            <w:tcW w:w="757"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发证</w:t>
            </w:r>
          </w:p>
        </w:tc>
        <w:tc>
          <w:tcPr>
            <w:tcW w:w="66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监督</w:t>
            </w:r>
          </w:p>
        </w:tc>
        <w:tc>
          <w:tcPr>
            <w:tcW w:w="66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出厂</w:t>
            </w:r>
          </w:p>
        </w:tc>
        <w:tc>
          <w:tcPr>
            <w:tcW w:w="3562"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备注</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标签</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适用于预包装产品</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2</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净含量</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适用于定量包装产品</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3</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感官</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4</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总砷</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铅</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6</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菌落总数</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腐竹等非直接入口的食品不做要求</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7</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大肠菌群</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腐竹等非直接入口的食品不做要求</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8</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致病菌（沙门氏菌、志贺氏菌、金黄色葡萄球菌）</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腐竹等非直接入口的食品不做要求</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9</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脲酶试验</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豆浆检验项目，检验结果应为阴性。</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苯甲酸</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直接入口食品检测项目</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11</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山梨酸</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直接入口食品检测项目</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12</w:t>
            </w:r>
          </w:p>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 </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糖精钠</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直接入口食品根据产品实际情况选择</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13</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甜蜜素</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直接入口食品根据产品实际情况选择</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14</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色素</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直接入口食品根据产品实际情况选择</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97"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eastAsia="宋体" w:cs="宋体"/>
                <w:color w:val="000000"/>
                <w:kern w:val="0"/>
                <w:sz w:val="24"/>
              </w:rPr>
            </w:pPr>
            <w:r>
              <w:rPr>
                <w:rFonts w:ascii="宋体" w:hAnsi="宋体" w:eastAsia="宋体" w:cs="宋体"/>
                <w:color w:val="000000"/>
                <w:kern w:val="0"/>
                <w:sz w:val="24"/>
              </w:rPr>
              <w:t>15</w:t>
            </w:r>
          </w:p>
        </w:tc>
        <w:tc>
          <w:tcPr>
            <w:tcW w:w="26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次硫酸氢钠甲醛</w:t>
            </w:r>
          </w:p>
        </w:tc>
        <w:tc>
          <w:tcPr>
            <w:tcW w:w="75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668"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w:t>
            </w:r>
          </w:p>
        </w:tc>
        <w:tc>
          <w:tcPr>
            <w:tcW w:w="3562"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腐竹检测项目</w:t>
            </w:r>
          </w:p>
        </w:tc>
      </w:tr>
    </w:tbl>
    <w:p>
      <w:pPr>
        <w:widowControl/>
        <w:spacing w:line="360" w:lineRule="auto"/>
        <w:jc w:val="left"/>
        <w:rPr>
          <w:rFonts w:ascii="宋体" w:hAnsi="宋体" w:eastAsia="宋体" w:cs="宋体"/>
          <w:color w:val="000000"/>
          <w:kern w:val="0"/>
          <w:sz w:val="24"/>
        </w:rPr>
      </w:pPr>
      <w:r>
        <w:rPr>
          <w:rFonts w:ascii="宋体" w:hAnsi="宋体" w:eastAsia="宋体" w:cs="宋体"/>
          <w:color w:val="000000"/>
          <w:kern w:val="0"/>
          <w:sz w:val="24"/>
        </w:rPr>
        <w:t>注：依据标准GB2760、GB7718、GB2711</w:t>
      </w:r>
    </w:p>
    <w:p>
      <w:pPr>
        <w:pStyle w:val="3"/>
        <w:spacing w:before="0" w:after="0" w:line="360" w:lineRule="auto"/>
        <w:rPr>
          <w:rFonts w:ascii="宋体" w:hAnsi="宋体" w:eastAsia="宋体"/>
          <w:sz w:val="24"/>
        </w:rPr>
      </w:pPr>
      <w:bookmarkStart w:id="15" w:name="_Toc10453188"/>
      <w:r>
        <w:rPr>
          <w:rFonts w:ascii="宋体" w:hAnsi="宋体" w:eastAsia="宋体"/>
          <w:sz w:val="24"/>
        </w:rPr>
        <w:t>八、抽样方法</w:t>
      </w:r>
      <w:bookmarkEnd w:id="15"/>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发证检验抽样应当按照下列规定进行。</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根据企业所申请取证产品的品种，发酵性豆制品在企业成品库内分别随机抽取1种产品。非发酵性豆制品优先抽取直接入口的产品，有腐竹的加抽一个腐竹产品。所抽样品应为同一规格、同一批次的产品。</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抽样基数：产品不得少于50kg。</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抽样数量：同一批次的产品不少于2kg（腐竹可适当减少抽样数量），独立包装不少于8个产品，分成2份，1份检验，1份备查。</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样品及抽样单内容经确认无误后，由抽样人员与被抽查单位在抽样单上签字、盖章，当场封存样品，并加贴封条，封条上应有抽样人员签名、抽样单位盖章及抽样日期。</w:t>
      </w:r>
    </w:p>
    <w:p>
      <w:pPr>
        <w:pStyle w:val="3"/>
        <w:spacing w:before="0" w:after="0" w:line="360" w:lineRule="auto"/>
        <w:rPr>
          <w:rFonts w:ascii="宋体" w:hAnsi="宋体" w:eastAsia="宋体"/>
          <w:sz w:val="24"/>
        </w:rPr>
      </w:pPr>
      <w:bookmarkStart w:id="16" w:name="_Toc10453189"/>
      <w:r>
        <w:rPr>
          <w:rFonts w:ascii="宋体" w:hAnsi="宋体" w:eastAsia="宋体"/>
          <w:sz w:val="24"/>
        </w:rPr>
        <w:t>九、其它要求</w:t>
      </w:r>
      <w:bookmarkEnd w:id="16"/>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（一）对于保质期短且贮藏温度有特殊要求的豆制品，抽完样后，要按企业产品明示的贮藏温度保存样品并及时送达发证检验机构。</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（二）次硫酸氢钠甲醛的检测依据按国质检执（2002）183号文关于印发《禁止在食品中使用次硫酸氢钠甲醛（吊白块）产品的监督管理规定》的通知及附件。</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（三）腐竹允许分装，但必须符合本细则中的相应规定。</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（四）保质期短的产品在贮存中应有保证产品质量的措施。运输豆制品时，应严密遮盖，避免日晒、雨淋。不得与有害、有异味或影响产品质量的物品混装运输，做到专车送货。</w:t>
      </w:r>
    </w:p>
    <w:p>
      <w:pPr>
        <w:widowControl/>
        <w:spacing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（五）在发证检验中，如果在地方标准、企业标准和产品标签上标注了审查细则规定以外的其他指标，发证检验时也要进行检验，并按相关标准、产品明示值进行判定</w:t>
      </w:r>
      <w:r>
        <w:rPr>
          <w:rFonts w:hint="eastAsia" w:ascii="宋体" w:hAnsi="宋体" w:eastAsia="宋体" w:cs="宋体"/>
          <w:color w:val="000000"/>
          <w:kern w:val="0"/>
          <w:sz w:val="24"/>
        </w:rPr>
        <w:t>。</w:t>
      </w:r>
    </w:p>
    <w:p>
      <w:pPr>
        <w:spacing w:line="360" w:lineRule="auto"/>
        <w:rPr>
          <w:rFonts w:ascii="宋体" w:hAnsi="宋体" w:eastAsia="宋体"/>
          <w:sz w:val="24"/>
        </w:rPr>
      </w:pPr>
    </w:p>
    <w:p>
      <w:pPr>
        <w:spacing w:line="360" w:lineRule="auto"/>
        <w:rPr>
          <w:rFonts w:ascii="宋体" w:hAnsi="宋体" w:eastAsia="宋体"/>
          <w:sz w:val="24"/>
        </w:rPr>
      </w:pPr>
    </w:p>
    <w:sectPr>
      <w:headerReference r:id="rId3" w:type="default"/>
      <w:footerReference r:id="rId4" w:type="default"/>
      <w:pgSz w:w="11906" w:h="16838"/>
      <w:pgMar w:top="1021" w:right="1588" w:bottom="1021" w:left="1588"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8306160"/>
      <w:docPartObj>
        <w:docPartGallery w:val="AutoText"/>
      </w:docPartObj>
    </w:sdtPr>
    <w:sdtContent>
      <w:p>
        <w:pPr>
          <w:pStyle w:val="6"/>
          <w:jc w:val="center"/>
          <w:rPr>
            <w:rFonts w:ascii="楷体" w:hAnsi="楷体" w:eastAsia="楷体" w:cs="楷体"/>
          </w:rPr>
        </w:pPr>
        <w:r>
          <w:rPr>
            <w:rFonts w:hint="eastAsia" w:ascii="楷体" w:hAnsi="楷体" w:eastAsia="楷体" w:cs="楷体"/>
            <w:sz w:val="21"/>
            <w:szCs w:val="21"/>
          </w:rPr>
          <w:t>技术服务范围：食品工厂设计 食品标签审核 食品生产许可办理  食品企业培训 企标备案</w:t>
        </w:r>
      </w:p>
      <w:p>
        <w:pPr>
          <w:pStyle w:val="6"/>
          <w:jc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6"/>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eastAsia="楷体"/>
                                </w:rPr>
                                <w:t>4</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r>
                                <w:rPr>
                                  <w:rFonts w:eastAsia="楷体"/>
                                </w:rPr>
                                <w:t>8</w:t>
                              </w:r>
                              <w:r>
                                <w:rPr>
                                  <w:rFonts w:ascii="Times New Roman" w:hAnsi="Times New Roman" w:eastAsia="楷体" w:cs="Times New Roman"/>
                                </w:rPr>
                                <w:fldChar w:fldCharType="end"/>
                              </w:r>
                              <w:r>
                                <w:rPr>
                                  <w:rFonts w:ascii="Times New Roman" w:hAnsi="Times New Roman" w:eastAsia="楷体" w:cs="Times New Roman"/>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59264;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6"/>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eastAsia="楷体"/>
                          </w:rPr>
                          <w:t>4</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r>
                          <w:rPr>
                            <w:rFonts w:eastAsia="楷体"/>
                          </w:rPr>
                          <w:t>8</w:t>
                        </w:r>
                        <w:r>
                          <w:rPr>
                            <w:rFonts w:ascii="Times New Roman" w:hAnsi="Times New Roman" w:eastAsia="楷体" w:cs="Times New Roman"/>
                          </w:rPr>
                          <w:fldChar w:fldCharType="end"/>
                        </w:r>
                        <w:r>
                          <w:rPr>
                            <w:rFonts w:ascii="Times New Roman" w:hAnsi="Times New Roman" w:eastAsia="楷体" w:cs="Times New Roman"/>
                          </w:rPr>
                          <w:t xml:space="preserve"> 页</w:t>
                        </w:r>
                      </w:p>
                    </w:txbxContent>
                  </v:textbox>
                </v:shape>
              </w:pict>
            </mc:Fallback>
          </mc:AlternateConten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楷体" w:hAnsi="楷体" w:eastAsia="楷体" w:cs="楷体"/>
        <w:sz w:val="21"/>
        <w:szCs w:val="21"/>
      </w:rPr>
    </w:pPr>
    <w: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bookmarkStart w:id="17" w:name="_GoBack"/>
    <w:bookmarkEnd w:id="17"/>
    <w:r>
      <w:rPr>
        <w:rFonts w:hint="eastAsia" w:ascii="楷体" w:hAnsi="楷体" w:eastAsia="楷体" w:cs="楷体"/>
        <w:sz w:val="21"/>
        <w:szCs w:val="21"/>
      </w:rPr>
      <w:t>0 3266（微信同号）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QyODhlNzk1NGE3YTEwZTEzMzM5NDg5MDFkNzEifQ=="/>
  </w:docVars>
  <w:rsids>
    <w:rsidRoot w:val="4AF65E53"/>
    <w:rsid w:val="000B5EAA"/>
    <w:rsid w:val="00574386"/>
    <w:rsid w:val="005C0104"/>
    <w:rsid w:val="005C67CF"/>
    <w:rsid w:val="00612C26"/>
    <w:rsid w:val="006E756D"/>
    <w:rsid w:val="00761260"/>
    <w:rsid w:val="0083630D"/>
    <w:rsid w:val="00C24EB6"/>
    <w:rsid w:val="00C37C3C"/>
    <w:rsid w:val="00D635DF"/>
    <w:rsid w:val="00EC4468"/>
    <w:rsid w:val="28435806"/>
    <w:rsid w:val="2DD2010A"/>
    <w:rsid w:val="4AF65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7"/>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qFormat/>
    <w:uiPriority w:val="39"/>
    <w:pPr>
      <w:ind w:left="840" w:leftChars="40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rPr>
      <w:rFonts w:ascii="Times New Roman" w:hAnsi="Times New Roman" w:eastAsia="宋体" w:cs="Times New Roman"/>
      <w:szCs w:val="20"/>
    </w:rPr>
  </w:style>
  <w:style w:type="paragraph" w:styleId="9">
    <w:name w:val="toc 2"/>
    <w:basedOn w:val="1"/>
    <w:next w:val="1"/>
    <w:autoRedefine/>
    <w:unhideWhenUsed/>
    <w:qFormat/>
    <w:uiPriority w:val="39"/>
    <w:pPr>
      <w:ind w:left="420" w:leftChars="200"/>
    </w:pPr>
    <w:rPr>
      <w:rFonts w:ascii="Times New Roman" w:hAnsi="Times New Roman" w:eastAsia="宋体" w:cs="Times New Roman"/>
      <w:szCs w:val="20"/>
    </w:rPr>
  </w:style>
  <w:style w:type="character" w:styleId="12">
    <w:name w:val="Hyperlink"/>
    <w:unhideWhenUsed/>
    <w:qFormat/>
    <w:uiPriority w:val="99"/>
    <w:rPr>
      <w:color w:val="0563C1"/>
      <w:u w:val="single"/>
    </w:rPr>
  </w:style>
  <w:style w:type="character" w:customStyle="1" w:styleId="13">
    <w:name w:val="页眉 Char"/>
    <w:basedOn w:val="11"/>
    <w:link w:val="7"/>
    <w:qFormat/>
    <w:uiPriority w:val="99"/>
    <w:rPr>
      <w:kern w:val="2"/>
      <w:sz w:val="18"/>
      <w:szCs w:val="18"/>
    </w:rPr>
  </w:style>
  <w:style w:type="character" w:customStyle="1" w:styleId="14">
    <w:name w:val="页脚 Char"/>
    <w:basedOn w:val="11"/>
    <w:link w:val="6"/>
    <w:uiPriority w:val="0"/>
    <w:rPr>
      <w:kern w:val="2"/>
      <w:sz w:val="18"/>
      <w:szCs w:val="18"/>
    </w:rPr>
  </w:style>
  <w:style w:type="character" w:customStyle="1" w:styleId="15">
    <w:name w:val="标题 1 Char"/>
    <w:basedOn w:val="11"/>
    <w:link w:val="2"/>
    <w:uiPriority w:val="0"/>
    <w:rPr>
      <w:b/>
      <w:bCs/>
      <w:kern w:val="44"/>
      <w:sz w:val="44"/>
      <w:szCs w:val="44"/>
    </w:rPr>
  </w:style>
  <w:style w:type="paragraph" w:customStyle="1" w:styleId="16">
    <w:name w:val="TOC Heading"/>
    <w:basedOn w:val="2"/>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character" w:customStyle="1" w:styleId="17">
    <w:name w:val="标题 3 Char"/>
    <w:basedOn w:val="11"/>
    <w:link w:val="4"/>
    <w:uiPriority w:val="0"/>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2734</Words>
  <Characters>2883</Characters>
  <Lines>31</Lines>
  <Paragraphs>8</Paragraphs>
  <TotalTime>23</TotalTime>
  <ScaleCrop>false</ScaleCrop>
  <LinksUpToDate>false</LinksUpToDate>
  <CharactersWithSpaces>3002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2018-06-04T05:40:00Z</dcterms:created>
  <dc:creator>Administrator</dc:creator>
  <cp:lastModifiedBy>Terry</cp:lastModifiedBy>
  <cp:lastPrinted>2019-06-03T03:24:00Z</cp:lastPrinted>
  <dcterms:modified xsi:type="dcterms:W3CDTF">2024-06-14T03:29:49Z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EDB36CB7374B41399750A75232AECB52_12</vt:lpwstr>
  </property>
</Properties>
</file>