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蔬菜制品生产许可证审查细则（2006版）</w:t>
      </w:r>
    </w:p>
    <w:p>
      <w:pPr>
        <w:widowControl/>
        <w:spacing w:line="360" w:lineRule="auto"/>
        <w:jc w:val="center"/>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目录</w:t>
      </w:r>
    </w:p>
    <w:p>
      <w:pPr>
        <w:pStyle w:val="8"/>
        <w:tabs>
          <w:tab w:val="right" w:leader="dot" w:pos="8296"/>
        </w:tabs>
        <w:spacing w:line="360" w:lineRule="auto"/>
        <w:rPr>
          <w:rFonts w:ascii="宋体" w:hAnsi="宋体" w:eastAsia="宋体"/>
          <w:sz w:val="24"/>
        </w:rPr>
      </w:pPr>
      <w:r>
        <w:rPr>
          <w:rFonts w:ascii="宋体" w:hAnsi="宋体" w:eastAsia="宋体" w:cstheme="minorEastAsia"/>
          <w:b/>
          <w:bCs/>
          <w:color w:val="333333"/>
          <w:kern w:val="0"/>
          <w:sz w:val="24"/>
          <w:shd w:val="clear" w:color="auto" w:fill="FFFFFF"/>
          <w:lang w:bidi="ar"/>
        </w:rPr>
        <w:fldChar w:fldCharType="begin"/>
      </w:r>
      <w:r>
        <w:rPr>
          <w:rFonts w:ascii="宋体" w:hAnsi="宋体" w:eastAsia="宋体" w:cstheme="minorEastAsia"/>
          <w:b/>
          <w:bCs/>
          <w:color w:val="333333"/>
          <w:kern w:val="0"/>
          <w:sz w:val="24"/>
          <w:shd w:val="clear" w:color="auto" w:fill="FFFFFF"/>
          <w:lang w:bidi="ar"/>
        </w:rPr>
        <w:instrText xml:space="preserve"> TOC \o "1-3" \h \z \u </w:instrText>
      </w:r>
      <w:r>
        <w:rPr>
          <w:rFonts w:ascii="宋体" w:hAnsi="宋体" w:eastAsia="宋体" w:cstheme="minorEastAsia"/>
          <w:b/>
          <w:bCs/>
          <w:color w:val="333333"/>
          <w:kern w:val="0"/>
          <w:sz w:val="24"/>
          <w:shd w:val="clear" w:color="auto" w:fill="FFFFFF"/>
          <w:lang w:bidi="ar"/>
        </w:rPr>
        <w:fldChar w:fldCharType="separate"/>
      </w:r>
      <w:r>
        <w:fldChar w:fldCharType="begin"/>
      </w:r>
      <w:r>
        <w:instrText xml:space="preserve"> HYPERLINK \l "_Toc33019084" </w:instrText>
      </w:r>
      <w:r>
        <w:fldChar w:fldCharType="separate"/>
      </w:r>
      <w:r>
        <w:rPr>
          <w:rStyle w:val="12"/>
          <w:rFonts w:hint="eastAsia" w:ascii="宋体" w:hAnsi="宋体" w:eastAsia="宋体"/>
          <w:sz w:val="24"/>
          <w:shd w:val="clear" w:color="auto" w:fill="FFFFFF"/>
          <w:lang w:bidi="ar"/>
        </w:rPr>
        <w:t>一、发证产品范围及申证单元</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_Toc33019084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"_Toc33019085" </w:instrText>
      </w:r>
      <w:r>
        <w:fldChar w:fldCharType="separate"/>
      </w:r>
      <w:r>
        <w:rPr>
          <w:rStyle w:val="12"/>
          <w:rFonts w:hint="eastAsia" w:ascii="宋体" w:hAnsi="宋体" w:eastAsia="宋体"/>
          <w:sz w:val="24"/>
          <w:shd w:val="clear" w:color="auto" w:fill="FFFFFF"/>
          <w:lang w:bidi="ar"/>
        </w:rPr>
        <w:t>二、基本生产流程及关键控制环节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_Toc33019085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"_Toc33019086" </w:instrText>
      </w:r>
      <w:r>
        <w:fldChar w:fldCharType="separate"/>
      </w:r>
      <w:r>
        <w:rPr>
          <w:rStyle w:val="12"/>
          <w:rFonts w:hint="eastAsia" w:ascii="宋体" w:hAnsi="宋体" w:eastAsia="宋体"/>
          <w:sz w:val="24"/>
          <w:shd w:val="clear" w:color="auto" w:fill="FFFFFF"/>
          <w:lang w:bidi="ar"/>
        </w:rPr>
        <w:t>（一）基本生产流程</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_Toc33019086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"_Toc33019087" </w:instrText>
      </w:r>
      <w:r>
        <w:fldChar w:fldCharType="separate"/>
      </w:r>
      <w:r>
        <w:rPr>
          <w:rStyle w:val="12"/>
          <w:rFonts w:hint="eastAsia" w:ascii="宋体" w:hAnsi="宋体" w:eastAsia="宋体"/>
          <w:sz w:val="24"/>
          <w:shd w:val="clear" w:color="auto" w:fill="FFFFFF"/>
          <w:lang w:bidi="ar"/>
        </w:rPr>
        <w:t>（二）关键控制环节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_Toc33019087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"_Toc33019088" </w:instrText>
      </w:r>
      <w:r>
        <w:fldChar w:fldCharType="separate"/>
      </w:r>
      <w:r>
        <w:rPr>
          <w:rStyle w:val="12"/>
          <w:rFonts w:hint="eastAsia" w:ascii="宋体" w:hAnsi="宋体" w:eastAsia="宋体"/>
          <w:sz w:val="24"/>
          <w:shd w:val="clear" w:color="auto" w:fill="FFFFFF"/>
          <w:lang w:bidi="ar"/>
        </w:rPr>
        <w:t>（三）容易出现的质量安全问题</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_Toc33019088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"_Toc33019089" </w:instrText>
      </w:r>
      <w:r>
        <w:fldChar w:fldCharType="separate"/>
      </w:r>
      <w:r>
        <w:rPr>
          <w:rStyle w:val="12"/>
          <w:rFonts w:hint="eastAsia" w:ascii="宋体" w:hAnsi="宋体" w:eastAsia="宋体"/>
          <w:sz w:val="24"/>
          <w:shd w:val="clear" w:color="auto" w:fill="FFFFFF"/>
          <w:lang w:bidi="ar"/>
        </w:rPr>
        <w:t>三、必备的生产资源</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_Toc33019089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"_Toc33019090" </w:instrText>
      </w:r>
      <w:r>
        <w:fldChar w:fldCharType="separate"/>
      </w:r>
      <w:r>
        <w:rPr>
          <w:rStyle w:val="12"/>
          <w:rFonts w:hint="eastAsia" w:ascii="宋体" w:hAnsi="宋体" w:eastAsia="宋体"/>
          <w:sz w:val="24"/>
          <w:shd w:val="clear" w:color="auto" w:fill="FFFFFF"/>
          <w:lang w:bidi="ar"/>
        </w:rPr>
        <w:t>（一）生产场所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_Toc33019090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"_Toc33019091" </w:instrText>
      </w:r>
      <w:r>
        <w:fldChar w:fldCharType="separate"/>
      </w:r>
      <w:r>
        <w:rPr>
          <w:rStyle w:val="12"/>
          <w:rFonts w:hint="eastAsia" w:ascii="宋体" w:hAnsi="宋体" w:eastAsia="宋体"/>
          <w:sz w:val="24"/>
          <w:shd w:val="clear" w:color="auto" w:fill="FFFFFF"/>
          <w:lang w:bidi="ar"/>
        </w:rPr>
        <w:t>（二）必备的生产设备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_Toc33019091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"_Toc33019092" </w:instrText>
      </w:r>
      <w:r>
        <w:fldChar w:fldCharType="separate"/>
      </w:r>
      <w:r>
        <w:rPr>
          <w:rStyle w:val="12"/>
          <w:rFonts w:hint="eastAsia" w:ascii="宋体" w:hAnsi="宋体" w:eastAsia="宋体"/>
          <w:sz w:val="24"/>
          <w:shd w:val="clear" w:color="auto" w:fill="FFFFFF"/>
          <w:lang w:bidi="ar"/>
        </w:rPr>
        <w:t>四、产品相关标准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_Toc33019092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"_Toc33019093" </w:instrText>
      </w:r>
      <w:r>
        <w:fldChar w:fldCharType="separate"/>
      </w:r>
      <w:r>
        <w:rPr>
          <w:rStyle w:val="12"/>
          <w:rFonts w:hint="eastAsia" w:ascii="宋体" w:hAnsi="宋体" w:eastAsia="宋体"/>
          <w:sz w:val="24"/>
          <w:shd w:val="clear" w:color="auto" w:fill="FFFFFF"/>
          <w:lang w:bidi="ar"/>
        </w:rPr>
        <w:t>五、原辅材料的有关要求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_Toc33019093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"_Toc33019094" </w:instrText>
      </w:r>
      <w:r>
        <w:fldChar w:fldCharType="separate"/>
      </w:r>
      <w:r>
        <w:rPr>
          <w:rStyle w:val="12"/>
          <w:rFonts w:hint="eastAsia" w:ascii="宋体" w:hAnsi="宋体" w:eastAsia="宋体"/>
          <w:sz w:val="24"/>
          <w:shd w:val="clear" w:color="auto" w:fill="FFFFFF"/>
          <w:lang w:bidi="ar"/>
        </w:rPr>
        <w:t>六、必备的出厂检验设备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_Toc33019094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"_Toc33019095" </w:instrText>
      </w:r>
      <w:r>
        <w:fldChar w:fldCharType="separate"/>
      </w:r>
      <w:r>
        <w:rPr>
          <w:rStyle w:val="12"/>
          <w:rFonts w:hint="eastAsia" w:ascii="宋体" w:hAnsi="宋体" w:eastAsia="宋体"/>
          <w:sz w:val="24"/>
          <w:shd w:val="clear" w:color="auto" w:fill="FFFFFF"/>
          <w:lang w:bidi="ar"/>
        </w:rPr>
        <w:t>七、检验项目</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_Toc33019095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"_Toc33019096" </w:instrText>
      </w:r>
      <w:r>
        <w:fldChar w:fldCharType="separate"/>
      </w:r>
      <w:r>
        <w:rPr>
          <w:rStyle w:val="12"/>
          <w:rFonts w:hint="eastAsia" w:ascii="宋体" w:hAnsi="宋体" w:eastAsia="宋体"/>
          <w:sz w:val="24"/>
          <w:shd w:val="clear" w:color="auto" w:fill="FFFFFF"/>
          <w:lang w:bidi="ar"/>
        </w:rPr>
        <w:t>八、抽样方法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_Toc33019096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"_Toc33019097" </w:instrText>
      </w:r>
      <w:r>
        <w:fldChar w:fldCharType="separate"/>
      </w:r>
      <w:r>
        <w:rPr>
          <w:rStyle w:val="12"/>
          <w:rFonts w:hint="eastAsia" w:ascii="宋体" w:hAnsi="宋体" w:eastAsia="宋体"/>
          <w:sz w:val="24"/>
          <w:shd w:val="clear" w:color="auto" w:fill="FFFFFF"/>
          <w:lang w:bidi="ar"/>
        </w:rPr>
        <w:t>九、其他要求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_Toc33019097 \h </w:instrText>
      </w:r>
      <w:r>
        <w:rPr>
          <w:rFonts w:ascii="宋体" w:hAnsi="宋体" w:eastAsia="宋体"/>
          <w:sz w:val="24"/>
        </w:rPr>
        <w:fldChar w:fldCharType="separate"/>
      </w:r>
      <w:r>
        <w:rPr>
          <w:rFonts w:ascii="宋体" w:hAnsi="宋体" w:eastAsia="宋体"/>
          <w:sz w:val="24"/>
        </w:rPr>
        <w:t>6</w:t>
      </w:r>
      <w:r>
        <w:rPr>
          <w:rFonts w:ascii="宋体" w:hAnsi="宋体" w:eastAsia="宋体"/>
          <w:sz w:val="24"/>
        </w:rPr>
        <w:fldChar w:fldCharType="end"/>
      </w:r>
      <w:r>
        <w:rPr>
          <w:rFonts w:ascii="宋体" w:hAnsi="宋体" w:eastAsia="宋体"/>
          <w:sz w:val="24"/>
        </w:rPr>
        <w:fldChar w:fldCharType="end"/>
      </w:r>
    </w:p>
    <w:p>
      <w:pPr>
        <w:widowControl/>
        <w:spacing w:line="360" w:lineRule="auto"/>
        <w:jc w:val="left"/>
        <w:rPr>
          <w:rFonts w:ascii="宋体" w:hAnsi="宋体" w:eastAsia="宋体" w:cstheme="minorEastAsia"/>
          <w:b/>
          <w:bCs/>
          <w:color w:val="333333"/>
          <w:kern w:val="0"/>
          <w:sz w:val="24"/>
          <w:shd w:val="clear" w:color="auto" w:fill="FFFFFF"/>
          <w:lang w:bidi="ar"/>
        </w:rPr>
      </w:pPr>
      <w:r>
        <w:rPr>
          <w:rFonts w:ascii="宋体" w:hAnsi="宋体" w:eastAsia="宋体" w:cstheme="minorEastAsia"/>
          <w:b/>
          <w:bCs/>
          <w:color w:val="333333"/>
          <w:kern w:val="0"/>
          <w:sz w:val="24"/>
          <w:shd w:val="clear" w:color="auto" w:fill="FFFFFF"/>
          <w:lang w:bidi="ar"/>
        </w:rPr>
        <w:fldChar w:fldCharType="end"/>
      </w:r>
    </w:p>
    <w:p>
      <w:pPr>
        <w:widowControl/>
        <w:spacing w:line="360" w:lineRule="auto"/>
        <w:jc w:val="left"/>
        <w:rPr>
          <w:rFonts w:ascii="宋体" w:hAnsi="宋体" w:eastAsia="宋体" w:cstheme="minorEastAsia"/>
          <w:b/>
          <w:bCs/>
          <w:color w:val="333333"/>
          <w:kern w:val="0"/>
          <w:sz w:val="24"/>
          <w:shd w:val="clear" w:color="auto" w:fill="FFFFFF"/>
          <w:lang w:bidi="ar"/>
        </w:rPr>
      </w:pPr>
      <w:r>
        <w:rPr>
          <w:rFonts w:ascii="宋体" w:hAnsi="宋体" w:eastAsia="宋体" w:cstheme="minorEastAsia"/>
          <w:b/>
          <w:bCs/>
          <w:color w:val="333333"/>
          <w:kern w:val="0"/>
          <w:sz w:val="24"/>
          <w:shd w:val="clear" w:color="auto" w:fill="FFFFFF"/>
          <w:lang w:bidi="ar"/>
        </w:rPr>
        <w:br w:type="page"/>
      </w:r>
    </w:p>
    <w:p>
      <w:pPr>
        <w:widowControl/>
        <w:shd w:val="clear" w:color="auto" w:fill="FFFFFF"/>
        <w:spacing w:line="360" w:lineRule="auto"/>
        <w:jc w:val="center"/>
        <w:rPr>
          <w:rFonts w:ascii="宋体" w:hAnsi="宋体" w:eastAsia="宋体" w:cstheme="minorEastAsia"/>
          <w:b/>
          <w:bCs/>
          <w:color w:val="333333"/>
          <w:sz w:val="24"/>
        </w:rPr>
      </w:pPr>
      <w:r>
        <w:rPr>
          <w:rFonts w:hint="eastAsia" w:ascii="宋体" w:hAnsi="宋体" w:eastAsia="宋体" w:cstheme="minorEastAsia"/>
          <w:b/>
          <w:bCs/>
          <w:color w:val="333333"/>
          <w:kern w:val="0"/>
          <w:sz w:val="24"/>
          <w:shd w:val="clear" w:color="auto" w:fill="FFFFFF"/>
          <w:lang w:bidi="ar"/>
        </w:rPr>
        <w:t>蔬菜制品生产许可证审查细则（2006版）</w:t>
      </w:r>
    </w:p>
    <w:p>
      <w:pPr>
        <w:widowControl/>
        <w:shd w:val="clear" w:color="auto" w:fill="FFFFFF"/>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2006年12月27 日《关于印发食用植物油等26个食品生产</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实施食品生产许可证管理的蔬菜制品是指以蔬菜和食用菌为原料,采用腌制、干燥、油炸等工艺加工而成的各种蔬菜制品，申证单元为4个，即酱腌菜、蔬菜干制品、食用菌制品、其他蔬菜制品。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在生产许可证上应当注明蔬菜制品具体单元及小类名称,即蔬菜制品[酱腌菜、蔬菜干制品（自然干制蔬菜、热风干燥蔬菜、冷冻干燥蔬菜、蔬菜脆片、蔬菜粉及制品）、食用菌制品（干制食用菌、腌渍食用菌）、其他蔬菜制品]。生产许可证有效期为3年，其产品类别编号为：1601。</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酱腌菜生产许可证的审查按《酱腌菜生产许可证的审查细则》进行。</w:t>
      </w:r>
    </w:p>
    <w:p>
      <w:pPr>
        <w:widowControl/>
        <w:shd w:val="clear" w:color="auto" w:fill="FFFFFF"/>
        <w:spacing w:line="360" w:lineRule="auto"/>
        <w:jc w:val="center"/>
        <w:rPr>
          <w:rFonts w:ascii="宋体" w:hAnsi="宋体" w:eastAsia="宋体" w:cstheme="minorEastAsia"/>
          <w:b/>
          <w:bCs/>
          <w:color w:val="333333"/>
          <w:sz w:val="24"/>
        </w:rPr>
      </w:pPr>
      <w:r>
        <w:rPr>
          <w:rFonts w:hint="eastAsia" w:ascii="宋体" w:hAnsi="宋体" w:eastAsia="宋体" w:cstheme="minorEastAsia"/>
          <w:b/>
          <w:bCs/>
          <w:color w:val="333333"/>
          <w:kern w:val="0"/>
          <w:sz w:val="24"/>
          <w:shd w:val="clear" w:color="auto" w:fill="FFFFFF"/>
          <w:lang w:bidi="ar"/>
        </w:rPr>
        <w:t>酱腌菜生产许可证审查细则</w:t>
      </w:r>
    </w:p>
    <w:p>
      <w:pPr>
        <w:pStyle w:val="3"/>
        <w:spacing w:before="0" w:after="0" w:line="360" w:lineRule="auto"/>
        <w:rPr>
          <w:rFonts w:ascii="宋体" w:hAnsi="宋体" w:eastAsia="宋体"/>
          <w:sz w:val="24"/>
          <w:szCs w:val="24"/>
        </w:rPr>
      </w:pPr>
      <w:bookmarkStart w:id="0" w:name="_Toc33019084"/>
      <w:r>
        <w:rPr>
          <w:rFonts w:hint="eastAsia" w:ascii="宋体" w:hAnsi="宋体" w:eastAsia="宋体"/>
          <w:sz w:val="24"/>
          <w:szCs w:val="24"/>
          <w:shd w:val="clear" w:color="auto" w:fill="FFFFFF"/>
          <w:lang w:bidi="ar"/>
        </w:rPr>
        <w:t>一、发证产品范围及申证单元</w:t>
      </w:r>
      <w:bookmarkEnd w:id="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实施食品生产许可证管理的酱腌菜是指以新鲜蔬菜为主要原料，经淘洗、腌制、脱盐、切分、调味、分装、密封、杀菌等工序，采用不同腌渍工艺制作而成的各种蔬菜制品的总称。</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酱腌菜的申证单元为1个。在生产许可证上应当注明获证产品的名称即酱腌菜。生产许可证有效期为3年，其产品类别编号为:1601。</w:t>
      </w:r>
    </w:p>
    <w:p>
      <w:pPr>
        <w:pStyle w:val="3"/>
        <w:spacing w:before="0" w:after="0" w:line="360" w:lineRule="auto"/>
        <w:rPr>
          <w:rFonts w:ascii="宋体" w:hAnsi="宋体" w:eastAsia="宋体"/>
          <w:sz w:val="24"/>
          <w:szCs w:val="24"/>
          <w:shd w:val="clear" w:color="auto" w:fill="FFFFFF"/>
          <w:lang w:bidi="ar"/>
        </w:rPr>
      </w:pPr>
      <w:bookmarkStart w:id="1" w:name="_Toc33019085"/>
      <w:r>
        <w:rPr>
          <w:rFonts w:hint="eastAsia" w:ascii="宋体" w:hAnsi="宋体" w:eastAsia="宋体"/>
          <w:sz w:val="24"/>
          <w:szCs w:val="24"/>
          <w:shd w:val="clear" w:color="auto" w:fill="FFFFFF"/>
          <w:lang w:bidi="ar"/>
        </w:rPr>
        <w:t>二、基本生产流程及关键控制环节</w:t>
      </w:r>
      <w:bookmarkEnd w:id="1"/>
    </w:p>
    <w:p>
      <w:pPr>
        <w:pStyle w:val="4"/>
        <w:spacing w:before="0" w:after="0" w:line="360" w:lineRule="auto"/>
        <w:rPr>
          <w:rFonts w:ascii="宋体" w:hAnsi="宋体" w:eastAsia="宋体"/>
          <w:sz w:val="24"/>
          <w:szCs w:val="24"/>
          <w:shd w:val="clear" w:color="auto" w:fill="FFFFFF"/>
          <w:lang w:bidi="ar"/>
        </w:rPr>
      </w:pPr>
      <w:bookmarkStart w:id="2" w:name="_Toc33019086"/>
      <w:r>
        <w:rPr>
          <w:rFonts w:hint="eastAsia" w:ascii="宋体" w:hAnsi="宋体" w:eastAsia="宋体"/>
          <w:sz w:val="24"/>
          <w:szCs w:val="24"/>
          <w:shd w:val="clear" w:color="auto" w:fill="FFFFFF"/>
          <w:lang w:bidi="ar"/>
        </w:rPr>
        <w:t>（一）基本生产流程</w:t>
      </w:r>
      <w:bookmarkEnd w:id="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原辅料预处理→腌制（盐渍、糖渍、酱渍等）→整理（淘洗、晾晒、压榨、调味、发酵、后熟）→ 灌装→灭菌（或不灭菌）→ 包装</w:t>
      </w:r>
    </w:p>
    <w:p>
      <w:pPr>
        <w:pStyle w:val="4"/>
        <w:spacing w:before="0" w:after="0" w:line="360" w:lineRule="auto"/>
        <w:rPr>
          <w:rFonts w:ascii="宋体" w:hAnsi="宋体" w:eastAsia="宋体" w:cstheme="minorEastAsia"/>
          <w:b w:val="0"/>
          <w:bCs w:val="0"/>
          <w:color w:val="333333"/>
          <w:kern w:val="0"/>
          <w:sz w:val="24"/>
          <w:szCs w:val="24"/>
          <w:shd w:val="clear" w:color="auto" w:fill="FFFFFF"/>
          <w:lang w:bidi="ar"/>
        </w:rPr>
      </w:pPr>
      <w:bookmarkStart w:id="3" w:name="_Toc33019087"/>
      <w:r>
        <w:rPr>
          <w:rFonts w:hint="eastAsia" w:ascii="宋体" w:hAnsi="宋体" w:eastAsia="宋体"/>
          <w:sz w:val="24"/>
          <w:szCs w:val="24"/>
          <w:shd w:val="clear" w:color="auto" w:fill="FFFFFF"/>
          <w:lang w:bidi="ar"/>
        </w:rPr>
        <w:t>（二）关键控制环节</w:t>
      </w:r>
      <w:bookmarkEnd w:id="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1．原辅料预处理：将霉变、变质、黄叶剔除。</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2．后熟：掌握适宜时间，避免腌制时间不当导致亚硝酸盐超标。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3．灭菌:主要控制灭菌的温度及灭菌的时间以及包装容器的清洗和灭菌。</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4．灌装：注意灌装时样品不受污染。</w:t>
      </w:r>
    </w:p>
    <w:p>
      <w:pPr>
        <w:pStyle w:val="4"/>
        <w:spacing w:before="0" w:after="0" w:line="360" w:lineRule="auto"/>
        <w:rPr>
          <w:rFonts w:ascii="宋体" w:hAnsi="宋体" w:eastAsia="宋体" w:cstheme="minorEastAsia"/>
          <w:b w:val="0"/>
          <w:bCs w:val="0"/>
          <w:color w:val="333333"/>
          <w:kern w:val="0"/>
          <w:sz w:val="24"/>
          <w:szCs w:val="24"/>
          <w:shd w:val="clear" w:color="auto" w:fill="FFFFFF"/>
          <w:lang w:bidi="ar"/>
        </w:rPr>
      </w:pPr>
      <w:bookmarkStart w:id="4" w:name="_Toc33019088"/>
      <w:r>
        <w:rPr>
          <w:rFonts w:hint="eastAsia" w:ascii="宋体" w:hAnsi="宋体" w:eastAsia="宋体"/>
          <w:sz w:val="24"/>
          <w:szCs w:val="24"/>
          <w:shd w:val="clear" w:color="auto" w:fill="FFFFFF"/>
          <w:lang w:bidi="ar"/>
        </w:rPr>
        <w:t>（三）容易出现的质量安全问题</w:t>
      </w:r>
      <w:bookmarkEnd w:id="4"/>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1．食品添加剂超范围或超量使用。</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2．亚硝酸盐超标。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3．微生物指标超标。</w:t>
      </w:r>
    </w:p>
    <w:p>
      <w:pPr>
        <w:pStyle w:val="3"/>
        <w:spacing w:before="0" w:after="0" w:line="360" w:lineRule="auto"/>
        <w:rPr>
          <w:rFonts w:ascii="宋体" w:hAnsi="宋体" w:eastAsia="宋体"/>
          <w:sz w:val="24"/>
          <w:szCs w:val="24"/>
          <w:shd w:val="clear" w:color="auto" w:fill="FFFFFF"/>
          <w:lang w:bidi="ar"/>
        </w:rPr>
      </w:pPr>
      <w:bookmarkStart w:id="5" w:name="_Toc33019089"/>
      <w:r>
        <w:rPr>
          <w:rFonts w:hint="eastAsia" w:ascii="宋体" w:hAnsi="宋体" w:eastAsia="宋体"/>
          <w:sz w:val="24"/>
          <w:szCs w:val="24"/>
          <w:shd w:val="clear" w:color="auto" w:fill="FFFFFF"/>
          <w:lang w:bidi="ar"/>
        </w:rPr>
        <w:t>三、必备的生产资源</w:t>
      </w:r>
      <w:bookmarkEnd w:id="5"/>
    </w:p>
    <w:p>
      <w:pPr>
        <w:pStyle w:val="4"/>
        <w:spacing w:before="0" w:after="0" w:line="360" w:lineRule="auto"/>
        <w:rPr>
          <w:rFonts w:ascii="宋体" w:hAnsi="宋体" w:eastAsia="宋体"/>
          <w:sz w:val="24"/>
          <w:szCs w:val="24"/>
          <w:shd w:val="clear" w:color="auto" w:fill="FFFFFF"/>
          <w:lang w:bidi="ar"/>
        </w:rPr>
      </w:pPr>
      <w:bookmarkStart w:id="6" w:name="_Toc33019090"/>
      <w:r>
        <w:rPr>
          <w:rFonts w:hint="eastAsia" w:ascii="宋体" w:hAnsi="宋体" w:eastAsia="宋体"/>
          <w:sz w:val="24"/>
          <w:szCs w:val="24"/>
          <w:shd w:val="clear" w:color="auto" w:fill="FFFFFF"/>
          <w:lang w:bidi="ar"/>
        </w:rPr>
        <w:t>（一）生产场所</w:t>
      </w:r>
      <w:bookmarkEnd w:id="6"/>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对于生产酱腌菜的企业，应具备原辅材料及包装材料仓库、成品仓库、洗瓶间（仅有软包装的企业不适用）、腌制车间、分选车间、灭菌灌装封盖车间、包装车间等满足工艺要求的生产场所。</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直接购买咸坯的生产企业可减少腌制车间。</w:t>
      </w:r>
    </w:p>
    <w:p>
      <w:pPr>
        <w:pStyle w:val="4"/>
        <w:spacing w:before="0" w:after="0" w:line="360" w:lineRule="auto"/>
        <w:rPr>
          <w:rFonts w:ascii="宋体" w:hAnsi="宋体" w:eastAsia="宋体"/>
          <w:sz w:val="24"/>
          <w:szCs w:val="24"/>
          <w:shd w:val="clear" w:color="auto" w:fill="FFFFFF"/>
          <w:lang w:bidi="ar"/>
        </w:rPr>
      </w:pPr>
      <w:bookmarkStart w:id="7" w:name="_Toc33019091"/>
      <w:r>
        <w:rPr>
          <w:rFonts w:hint="eastAsia" w:ascii="宋体" w:hAnsi="宋体" w:eastAsia="宋体"/>
          <w:sz w:val="24"/>
          <w:szCs w:val="24"/>
          <w:shd w:val="clear" w:color="auto" w:fill="FFFFFF"/>
          <w:lang w:bidi="ar"/>
        </w:rPr>
        <w:t>（二）必备的生产设备</w:t>
      </w:r>
      <w:bookmarkEnd w:id="7"/>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原料清洗设施（不锈钢、瓷砖贴面水槽或清洗机）;2.腌制设施（腌制容器，材质为不锈钢、陶瓷、水泥池内壁涂聚酰胺环氧树脂涂料，应防腐、易清洗）;3.分选台（不锈钢、瓷砖贴面）;4.切菜设备（视产品情况而定，可用切菜机）;5.半自动、自动洗瓶机(仅适合瓶装酱腌菜);6.灭菌设备（无灭菌过程的不适用）;7.包装设备（如真空封盖机，真空包装机等半自动、自动包装线、包装机、打包机、生产日期打印装置、计量称重设备等）。</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直接购买咸坯的生产企业必须具备3~7的设备。</w:t>
      </w:r>
    </w:p>
    <w:p>
      <w:pPr>
        <w:pStyle w:val="3"/>
        <w:spacing w:before="0" w:after="0" w:line="360" w:lineRule="auto"/>
        <w:rPr>
          <w:rFonts w:ascii="宋体" w:hAnsi="宋体" w:eastAsia="宋体"/>
          <w:sz w:val="24"/>
          <w:szCs w:val="24"/>
          <w:shd w:val="clear" w:color="auto" w:fill="FFFFFF"/>
          <w:lang w:bidi="ar"/>
        </w:rPr>
      </w:pPr>
      <w:bookmarkStart w:id="8" w:name="_Toc33019092"/>
      <w:r>
        <w:rPr>
          <w:rFonts w:hint="eastAsia" w:ascii="宋体" w:hAnsi="宋体" w:eastAsia="宋体"/>
          <w:sz w:val="24"/>
          <w:szCs w:val="24"/>
          <w:shd w:val="clear" w:color="auto" w:fill="FFFFFF"/>
          <w:lang w:bidi="ar"/>
        </w:rPr>
        <w:t>四、产品相关标准</w:t>
      </w:r>
      <w:bookmarkEnd w:id="8"/>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GB2714-2003《酱腌菜卫生标准》；GH/T1011-1998《榨菜》；GH/T1012-1998《方便榨菜》；SB/T10215-1994《酱渍菜》；SB/T10216-1994《盐渍菜》；SB/T10217-1994《酱油渍菜》；SB/T10218-1994《虾油渍菜》；SB/T10219-1994《糖醋渍菜》；SB/T10220-1994《盐水渍菜》；SB/T10221-1994《糟渍菜》；备案有效的企业标准。</w:t>
      </w:r>
    </w:p>
    <w:p>
      <w:pPr>
        <w:pStyle w:val="3"/>
        <w:spacing w:before="0" w:after="0" w:line="360" w:lineRule="auto"/>
        <w:rPr>
          <w:rFonts w:ascii="宋体" w:hAnsi="宋体" w:eastAsia="宋体" w:cstheme="minorEastAsia"/>
          <w:b w:val="0"/>
          <w:bCs w:val="0"/>
          <w:color w:val="333333"/>
          <w:kern w:val="0"/>
          <w:sz w:val="24"/>
          <w:szCs w:val="24"/>
          <w:shd w:val="clear" w:color="auto" w:fill="FFFFFF"/>
          <w:lang w:bidi="ar"/>
        </w:rPr>
      </w:pPr>
      <w:bookmarkStart w:id="9" w:name="_Toc33019093"/>
      <w:r>
        <w:rPr>
          <w:rFonts w:hint="eastAsia" w:ascii="宋体" w:hAnsi="宋体" w:eastAsia="宋体"/>
          <w:sz w:val="24"/>
          <w:szCs w:val="24"/>
          <w:shd w:val="clear" w:color="auto" w:fill="FFFFFF"/>
          <w:lang w:bidi="ar"/>
        </w:rPr>
        <w:t>五、原辅材料的有关要求</w:t>
      </w:r>
      <w:bookmarkEnd w:id="9"/>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企业生产酱腌菜所用的蔬菜、水果原料应该新鲜、无霉变腐烂，所使用的原辅材料必须符合国家标准、行业标准的要求，原辅材料中涉及生产许可证管理的产品必须采购有证企业的合格产品。</w:t>
      </w:r>
    </w:p>
    <w:p>
      <w:pPr>
        <w:pStyle w:val="3"/>
        <w:spacing w:before="0" w:after="0" w:line="360" w:lineRule="auto"/>
        <w:rPr>
          <w:rFonts w:ascii="宋体" w:hAnsi="宋体" w:eastAsia="宋体"/>
          <w:sz w:val="24"/>
          <w:szCs w:val="24"/>
          <w:shd w:val="clear" w:color="auto" w:fill="FFFFFF"/>
          <w:lang w:bidi="ar"/>
        </w:rPr>
      </w:pPr>
      <w:bookmarkStart w:id="10" w:name="_Toc33019094"/>
      <w:r>
        <w:rPr>
          <w:rFonts w:hint="eastAsia" w:ascii="宋体" w:hAnsi="宋体" w:eastAsia="宋体"/>
          <w:sz w:val="24"/>
          <w:szCs w:val="24"/>
          <w:shd w:val="clear" w:color="auto" w:fill="FFFFFF"/>
          <w:lang w:bidi="ar"/>
        </w:rPr>
        <w:t>六、必备的出厂检验设备</w:t>
      </w:r>
      <w:bookmarkEnd w:id="1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一）分析天平（0.1mg）；（二）干燥箱；（三）灭菌锅；（四）无菌室或超净工作台；（五）微生物培养箱；（六）生物显微镜；（七）分光光度计；（八）酸度计（有氨基酸态氮出厂检验项目的企业需具备）。</w:t>
      </w:r>
    </w:p>
    <w:p>
      <w:pPr>
        <w:pStyle w:val="3"/>
        <w:spacing w:before="0" w:after="0" w:line="360" w:lineRule="auto"/>
        <w:rPr>
          <w:rFonts w:ascii="宋体" w:hAnsi="宋体" w:eastAsia="宋体"/>
          <w:sz w:val="24"/>
          <w:szCs w:val="24"/>
          <w:shd w:val="clear" w:color="auto" w:fill="FFFFFF"/>
          <w:lang w:bidi="ar"/>
        </w:rPr>
      </w:pPr>
      <w:bookmarkStart w:id="11" w:name="_Toc33019095"/>
      <w:r>
        <w:rPr>
          <w:rFonts w:hint="eastAsia" w:ascii="宋体" w:hAnsi="宋体" w:eastAsia="宋体"/>
          <w:sz w:val="24"/>
          <w:szCs w:val="24"/>
          <w:shd w:val="clear" w:color="auto" w:fill="FFFFFF"/>
          <w:lang w:bidi="ar"/>
        </w:rPr>
        <w:t>七、检验项目</w:t>
      </w:r>
      <w:bookmarkEnd w:id="11"/>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酱腌菜的发证检验、监督检验、出厂检验分别按照下列表格中所列出的相应项目进行。出厂检验项目中标有“*”标记的，企业应在每次开始生产时进行1次检验；生产时间超过六个月的，需再进行1次检验。</w:t>
      </w:r>
    </w:p>
    <w:p>
      <w:pPr>
        <w:widowControl/>
        <w:shd w:val="clear" w:color="auto" w:fill="FFFFFF"/>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酱腌菜产品质量检验项目表</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99"/>
        <w:gridCol w:w="1978"/>
        <w:gridCol w:w="899"/>
        <w:gridCol w:w="899"/>
        <w:gridCol w:w="899"/>
        <w:gridCol w:w="2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序号</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检验项目</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发证</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监督</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出厂</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净含量</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2</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外观及感官</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3</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水分</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有此项目的进行检验（如榨菜、盐渍菜、酱油渍菜、方便榨菜、虾油渍菜、酱渍菜、糖醋渍菜）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4</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食盐含量</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有此项目的进行检验（如榨菜罐头、盐渍菜、榨菜、酱油渍菜、榨菜肉丝罐头、方便榨菜、虾油渍菜、酱渍菜、糖醋渍菜）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5</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总酸</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有此项目的进行检验（如糖醋渍菜、酱渍菜、虾油渍菜、酱油渍菜、榨菜）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6</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氨基酸态氮</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有此项目的进行检验(如酱渍菜、虾油渍菜、酱油渍菜)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7</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总糖</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有此项目的进行检验（如糖醋渍菜）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8</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还原糖</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有此项目的进行检验（如酱渍菜）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9</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砷</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10</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铅</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11</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锡</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仅酱腌菜罐头检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12</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铜</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仅酱腌菜罐头检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13</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防腐剂（山梨酸、苯甲酸）</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14</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甜味剂（甜蜜素、糖精钠、安赛蜜）</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15</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着色剂（胭脂红、苋菜红、柠檬黄、日落黄、亮蓝）</w:t>
            </w:r>
            <w:r>
              <w:rPr>
                <w:rFonts w:hint="eastAsia" w:ascii="宋体" w:hAnsi="宋体" w:eastAsia="宋体" w:cstheme="minorEastAsia"/>
                <w:color w:val="333333"/>
                <w:kern w:val="0"/>
                <w:sz w:val="24"/>
                <w:vertAlign w:val="superscript"/>
                <w:lang w:bidi="ar"/>
              </w:rPr>
              <w:t>1）</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16</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亚硝酸盐</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17</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大肠菌群</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18</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致病菌</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19</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商业无菌</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仅酱腌菜罐头检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20</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黄曲霉毒素B</w:t>
            </w:r>
            <w:r>
              <w:rPr>
                <w:rFonts w:hint="eastAsia" w:ascii="宋体" w:hAnsi="宋体" w:eastAsia="宋体" w:cstheme="minorEastAsia"/>
                <w:color w:val="333333"/>
                <w:kern w:val="0"/>
                <w:sz w:val="24"/>
                <w:vertAlign w:val="subscript"/>
                <w:lang w:bidi="ar"/>
              </w:rPr>
              <w:t>1</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2762"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仅酱渍菜、酱油渍菜检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21</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对羟基苯甲酸脂类</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c>
          <w:tcPr>
            <w:tcW w:w="899"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22</w:t>
            </w:r>
          </w:p>
        </w:tc>
        <w:tc>
          <w:tcPr>
            <w:tcW w:w="1978"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标签</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lang w:bidi="ar"/>
              </w:rPr>
              <w:t>√</w:t>
            </w:r>
          </w:p>
        </w:tc>
        <w:tc>
          <w:tcPr>
            <w:tcW w:w="899"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c>
          <w:tcPr>
            <w:tcW w:w="2762" w:type="dxa"/>
            <w:shd w:val="clear" w:color="auto" w:fill="FFFFFF"/>
          </w:tcPr>
          <w:p>
            <w:pPr>
              <w:widowControl/>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lang w:bidi="ar"/>
              </w:rPr>
              <w:t> </w:t>
            </w:r>
          </w:p>
        </w:tc>
      </w:tr>
    </w:tbl>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注：着色剂项目根据出产品色泽而定。</w:t>
      </w:r>
    </w:p>
    <w:p>
      <w:pPr>
        <w:pStyle w:val="3"/>
        <w:spacing w:before="0" w:after="0" w:line="360" w:lineRule="auto"/>
        <w:rPr>
          <w:rFonts w:ascii="宋体" w:hAnsi="宋体" w:eastAsia="宋体"/>
          <w:sz w:val="24"/>
          <w:szCs w:val="24"/>
          <w:shd w:val="clear" w:color="auto" w:fill="FFFFFF"/>
          <w:lang w:bidi="ar"/>
        </w:rPr>
      </w:pPr>
      <w:bookmarkStart w:id="12" w:name="_Toc33019096"/>
      <w:r>
        <w:rPr>
          <w:rFonts w:hint="eastAsia" w:ascii="宋体" w:hAnsi="宋体" w:eastAsia="宋体"/>
          <w:sz w:val="24"/>
          <w:szCs w:val="24"/>
          <w:shd w:val="clear" w:color="auto" w:fill="FFFFFF"/>
          <w:lang w:bidi="ar"/>
        </w:rPr>
        <w:t>八、抽样方法</w:t>
      </w:r>
      <w:bookmarkEnd w:id="1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根据企业申请发证产品，在企业的成品库内抽取一种工艺过程比较复杂、生产加工难度较高的主导产品进行检验。如果企业生产酱腌菜罐头，加抽罐头产品。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所抽样品必须是同一批次保质期内的产品，以同班次，同规格的产品为抽样基数，抽样基数不得少于200袋(瓶)且总量不低于30kg，抽取样品不少于20袋（瓶）且总量不低于3kg。样品分成2份，1份检验，1份备查。样品确认无误后，由核查组抽样人员与被抽样单位在抽样单上签字、盖章、当场封存样品，并加贴封条。在抽样单中盐渍菜应注明状态（干态、半干态、湿态），榨菜应注明含盐类别（低盐类、中盐类、高盐类）。封条上应有抽样人员签名、抽样单位盖章及封样日期。</w:t>
      </w:r>
    </w:p>
    <w:p>
      <w:pPr>
        <w:pStyle w:val="3"/>
        <w:spacing w:before="0" w:after="0" w:line="360" w:lineRule="auto"/>
        <w:rPr>
          <w:rFonts w:ascii="宋体" w:hAnsi="宋体" w:eastAsia="宋体"/>
          <w:sz w:val="24"/>
          <w:szCs w:val="24"/>
          <w:shd w:val="clear" w:color="auto" w:fill="FFFFFF"/>
          <w:lang w:bidi="ar"/>
        </w:rPr>
      </w:pPr>
      <w:bookmarkStart w:id="13" w:name="_Toc33019097"/>
      <w:r>
        <w:rPr>
          <w:rFonts w:hint="eastAsia" w:ascii="宋体" w:hAnsi="宋体" w:eastAsia="宋体"/>
          <w:sz w:val="24"/>
          <w:szCs w:val="24"/>
          <w:shd w:val="clear" w:color="auto" w:fill="FFFFFF"/>
          <w:lang w:bidi="ar"/>
        </w:rPr>
        <w:t>九、其他要求</w:t>
      </w:r>
      <w:bookmarkEnd w:id="1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生产酱腌菜罐头产品的企业，应同时满足罐头审查细则的要求。</w:t>
      </w:r>
      <w:r>
        <w:rPr>
          <w:rFonts w:hint="eastAsia" w:ascii="宋体" w:hAnsi="宋体" w:eastAsia="宋体" w:cstheme="minorEastAsia"/>
          <w:color w:val="333333"/>
          <w:kern w:val="0"/>
          <w:sz w:val="24"/>
          <w:shd w:val="clear" w:color="auto" w:fill="FFFFFF"/>
          <w:lang w:bidi="ar"/>
        </w:rPr>
        <w:br w:type="textWrapping"/>
      </w:r>
      <w:r>
        <w:rPr>
          <w:rFonts w:hint="eastAsia" w:ascii="宋体" w:hAnsi="宋体" w:eastAsia="宋体" w:cstheme="minorEastAsia"/>
          <w:color w:val="333333"/>
          <w:kern w:val="0"/>
          <w:sz w:val="24"/>
          <w:shd w:val="clear" w:color="auto" w:fill="FFFFFF"/>
          <w:lang w:bidi="ar"/>
        </w:rPr>
        <w:t> </w:t>
      </w:r>
    </w:p>
    <w:p>
      <w:pPr>
        <w:spacing w:line="360" w:lineRule="auto"/>
        <w:rPr>
          <w:rFonts w:ascii="宋体" w:hAnsi="宋体" w:eastAsia="宋体" w:cstheme="minorEastAsia"/>
          <w:sz w:val="24"/>
        </w:rPr>
      </w:pPr>
    </w:p>
    <w:sectPr>
      <w:headerReference r:id="rId3" w:type="default"/>
      <w:footerReference r:id="rId4"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6</w:t>
                          </w:r>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6</w:t>
                    </w:r>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4" w:name="_GoBack"/>
    <w:bookmarkEnd w:id="14"/>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BC21D5"/>
    <w:rsid w:val="003349F4"/>
    <w:rsid w:val="005A697C"/>
    <w:rsid w:val="00995AB8"/>
    <w:rsid w:val="009E07EC"/>
    <w:rsid w:val="00BC21D5"/>
    <w:rsid w:val="00BC3BA9"/>
    <w:rsid w:val="03132E34"/>
    <w:rsid w:val="03E62024"/>
    <w:rsid w:val="0AE45CE9"/>
    <w:rsid w:val="0E9D3662"/>
    <w:rsid w:val="100E0B27"/>
    <w:rsid w:val="10CD69D5"/>
    <w:rsid w:val="11D62A78"/>
    <w:rsid w:val="15C60C3E"/>
    <w:rsid w:val="16FA6F13"/>
    <w:rsid w:val="22596BE5"/>
    <w:rsid w:val="22A4509E"/>
    <w:rsid w:val="25425F32"/>
    <w:rsid w:val="26851D31"/>
    <w:rsid w:val="276568E9"/>
    <w:rsid w:val="28F720A1"/>
    <w:rsid w:val="29FE04D5"/>
    <w:rsid w:val="2D362AB8"/>
    <w:rsid w:val="30835119"/>
    <w:rsid w:val="399872E2"/>
    <w:rsid w:val="3ABE2836"/>
    <w:rsid w:val="40010DFD"/>
    <w:rsid w:val="40E91C22"/>
    <w:rsid w:val="464D14E8"/>
    <w:rsid w:val="47EE6D57"/>
    <w:rsid w:val="49E5062C"/>
    <w:rsid w:val="4F883D83"/>
    <w:rsid w:val="4FC35A0D"/>
    <w:rsid w:val="52B07527"/>
    <w:rsid w:val="52EF4921"/>
    <w:rsid w:val="564205E8"/>
    <w:rsid w:val="5CB0723F"/>
    <w:rsid w:val="61C11015"/>
    <w:rsid w:val="67C40926"/>
    <w:rsid w:val="6AAD6371"/>
    <w:rsid w:val="6DBA2DAB"/>
    <w:rsid w:val="6E0B4C5D"/>
    <w:rsid w:val="71F67977"/>
    <w:rsid w:val="738E34EE"/>
    <w:rsid w:val="7735193A"/>
    <w:rsid w:val="79696988"/>
    <w:rsid w:val="7A8732DA"/>
    <w:rsid w:val="7AAC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iPriority w:val="39"/>
    <w:pPr>
      <w:ind w:left="840" w:leftChars="400"/>
    </w:p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autoRedefine/>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99"/>
    <w:rPr>
      <w:color w:val="0000FF"/>
      <w:u w:val="single"/>
    </w:rPr>
  </w:style>
  <w:style w:type="character" w:customStyle="1" w:styleId="13">
    <w:name w:val="页脚 Char"/>
    <w:basedOn w:val="11"/>
    <w:link w:val="6"/>
    <w:qFormat/>
    <w:uiPriority w:val="0"/>
    <w:rPr>
      <w:rFonts w:asciiTheme="minorHAnsi" w:hAnsiTheme="minorHAnsi" w:eastAsiaTheme="minorEastAsia" w:cstheme="minorBidi"/>
      <w:kern w:val="2"/>
      <w:sz w:val="18"/>
      <w:szCs w:val="24"/>
    </w:rPr>
  </w:style>
  <w:style w:type="character" w:customStyle="1" w:styleId="14">
    <w:name w:val="页眉 Char"/>
    <w:basedOn w:val="11"/>
    <w:link w:val="7"/>
    <w:qFormat/>
    <w:uiPriority w:val="0"/>
    <w:rPr>
      <w:rFonts w:asciiTheme="minorHAnsi" w:hAnsiTheme="minorHAnsi" w:eastAsiaTheme="minorEastAsia" w:cstheme="minorBidi"/>
      <w:kern w:val="2"/>
      <w:sz w:val="18"/>
      <w:szCs w:val="24"/>
    </w:rPr>
  </w:style>
  <w:style w:type="character" w:customStyle="1" w:styleId="15">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16">
    <w:name w:val="标题 3 Char"/>
    <w:basedOn w:val="11"/>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2362</Words>
  <Characters>2547</Characters>
  <Lines>26</Lines>
  <Paragraphs>7</Paragraphs>
  <TotalTime>14</TotalTime>
  <ScaleCrop>false</ScaleCrop>
  <LinksUpToDate>false</LinksUpToDate>
  <CharactersWithSpaces>2580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WRS 86</dc:creator>
  <cp:lastModifiedBy>Terry</cp:lastModifiedBy>
  <dcterms:modified xsi:type="dcterms:W3CDTF">2024-06-14T03:27:22Z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D7C39F03543A403AA69EFA11EC0DE2C6_12</vt:lpwstr>
  </property>
</Properties>
</file>