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啤酒生产许可证审查细则（2006版）</w:t>
      </w:r>
    </w:p>
    <w:p>
      <w:pPr>
        <w:widowControl/>
        <w:spacing w:line="360" w:lineRule="auto"/>
        <w:jc w:val="center"/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目录</w:t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fldChar w:fldCharType="begin"/>
      </w:r>
      <w:r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instrText xml:space="preserve"> TOC \o "1-3" \h \z \u </w:instrText>
      </w:r>
      <w:r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fldChar w:fldCharType="separate"/>
      </w:r>
      <w:r>
        <w:fldChar w:fldCharType="begin"/>
      </w:r>
      <w:r>
        <w:instrText xml:space="preserve"> HYPERLINK \l "_Toc33024805"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一、发证产品范围及申证单元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_Toc33024805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"_Toc33024806"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二、基本生产流程及关键控制环节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_Toc33024806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"_Toc33024807"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（一）基本生产流程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_Toc33024807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"_Toc33024808"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（二）关键控制环节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_Toc33024808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"_Toc33024809"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（三）容易出现的质量安全问题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_Toc33024809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"_Toc33024810"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三、必备的生产资源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_Toc33024810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"_Toc33024811"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（一）生产场所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_Toc33024811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"_Toc33024812"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（二）必备的生产设备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_Toc33024812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"_Toc33024813"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四、产品相关标准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_Toc33024813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"_Toc33024814"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五、原辅材料的有关要求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_Toc33024814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六、必备的出厂检验设备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_Toc33024815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"_Toc33024816"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七、检验项目及判定原则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_Toc33024816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5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"_Toc33024817"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八、抽样方法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_Toc33024817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"_Toc33024818"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  <w:shd w:val="clear" w:color="auto" w:fill="FFFFFF"/>
          <w:lang w:bidi="ar"/>
        </w:rPr>
        <w:t>九、其他要求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_Toc33024818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widowControl/>
        <w:spacing w:line="360" w:lineRule="auto"/>
        <w:jc w:val="left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fldChar w:fldCharType="end"/>
      </w:r>
    </w:p>
    <w:p>
      <w:pPr>
        <w:widowControl/>
        <w:spacing w:line="360" w:lineRule="auto"/>
        <w:jc w:val="left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br w:type="page"/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theme="minorEastAsia"/>
          <w:b/>
          <w:bCs/>
          <w:color w:val="333333"/>
          <w:sz w:val="24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啤酒生产许可证审查细则（2006版）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33024805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一、发证产品范围及申证单元</w:t>
      </w:r>
      <w:bookmarkEnd w:id="0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实施食品生产许可证管理的啤酒产品包括所有以麦芽（包括特种麦芽）、水为主要原料，加啤酒花（包括酒花制品），经酵母发酵酿制而成的，含有二氧化碳的、起泡的、低酒精度的发酵酒。不包括酒精度含量＜0.5%（V/V）的产品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啤酒的申证单元为1个。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在生产许可证上应当注明获证产品名称即啤酒，并注明生产的产品品种（熟啤酒、生啤酒、鲜啤酒、特种啤酒），生产许可证有效期为3年。其产品类别编号1503。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1" w:name="_Toc33024806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2" w:name="_Toc33024807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（一）基本生产流程</w:t>
      </w:r>
      <w:bookmarkEnd w:id="2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糖化→发酵→滤酒→包装</w:t>
      </w:r>
    </w:p>
    <w:p>
      <w:pPr>
        <w:pStyle w:val="4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3" w:name="_Toc33024808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（二）关键控制环节</w:t>
      </w:r>
      <w:bookmarkEnd w:id="3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1．原辅料的控制。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2．添加剂的控制。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3．清洗剂、杀菌剂的控制。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4．工艺（卫生）要求的控制。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5．啤酒瓶的质量控制。</w:t>
      </w:r>
    </w:p>
    <w:p>
      <w:pPr>
        <w:pStyle w:val="4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4" w:name="_Toc33024809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（三）容易出现的质量安全问题</w:t>
      </w:r>
      <w:bookmarkEnd w:id="4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1．在原辅料的贮运过程中，出现污染。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2．食品添加剂的超范围使用和添加量超标。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3．清洗剂、杀菌剂等在啤酒中存在残留。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4．在啤酒生产中，清洗过程和杀菌过程不符合要求。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5．啤酒瓶的质量以及啤酒瓶的刷洗过程不符合要求。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5" w:name="_Toc33024810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6" w:name="_Toc33024811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（一）生产场所</w:t>
      </w:r>
      <w:bookmarkEnd w:id="6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啤酒生产企业应建在地势高、水源充足的地区。厂区应设绿化带，应有良好的排水系统，必须设有废水、废气处理系统。废水、废气的排放应符合国家排放标准。</w:t>
      </w:r>
    </w:p>
    <w:p>
      <w:pPr>
        <w:pStyle w:val="4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7" w:name="_Toc33024812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（二）必备的生产设备</w:t>
      </w:r>
      <w:bookmarkEnd w:id="7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1．原料粉碎设备；2．糖化设备；3．糊化设备；4．麦汁过滤设备；5．煮沸设备；6．回旋沉淀设备；7．麦汁冷却设备；8．酵母扩培设备；9．发酵罐；10．啤酒澄清设备；11．清酒罐；12．灌装设备；13．杀菌设备（熟啤酒应具备）；14．无菌过滤和无菌包装设备（生啤酒应具备）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生啤酒的生产还应有全面的生产过程无菌控制。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特种啤酒的生产应有与特种啤酒生产工艺相适应的生产设备，如：冰啤酒的生产应有冰晶化处理设备。</w:t>
      </w:r>
    </w:p>
    <w:p>
      <w:pPr>
        <w:pStyle w:val="3"/>
        <w:spacing w:before="0" w:after="0" w:line="360" w:lineRule="auto"/>
        <w:rPr>
          <w:rFonts w:ascii="宋体" w:hAnsi="宋体" w:eastAsia="宋体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bookmarkStart w:id="8" w:name="_Toc33024813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四、产品相关标准</w:t>
      </w:r>
      <w:bookmarkEnd w:id="8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GB4927-2001《啤酒》；GB2758-2005《发酵酒卫生标准》；GB10344-1989 《饮料酒标签标准》；GB4544-1996《 啤酒瓶》；备案有效的企业标准。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9" w:name="_Toc33024814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五、原辅材料的有关要求</w:t>
      </w:r>
      <w:bookmarkEnd w:id="9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生产啤酒所用的原辅材料应符合相应的国家标准和行业标准的规定。麦芽应符合QB1686-1993《啤酒麦芽》的规定；大米应符合GB1354-1986《大米》的规定；啤酒花应符合QB/T3770.1-1999《压缩啤酒花及颗粒啤酒花》的规定；啤酒瓶应符合GB4544-1996 《啤酒瓶》的规定；如使用的原辅材料为实施生产许可证管理的产品，必须选用获得生产许可证企业生产的产品。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10" w:name="_Toc33024815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六、必备的出厂检验设备</w:t>
      </w:r>
      <w:bookmarkEnd w:id="10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（一）分析天平（0.1mg）；（二）浊度计；（三）色度计；（四）秒表；（五）紫外分光光度计；（六）CO2测定仪；（七）灭菌锅；（八）微生物培养箱；（九）生物显微镜；（十）无菌室或超净工作台；（十一）酸度计；（十二）恒温水浴锅：控温精度±0.5℃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检验设备中（七）、（八）、（九）、（十）用于生产过程控制中的微生物检验。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11" w:name="_Toc33024816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七、检验项目及判定原则</w:t>
      </w:r>
      <w:bookmarkEnd w:id="11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（一）检验项目。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啤酒的发证检验、监督检验、出厂检验分别按照下列表格中所列出的相应检验项目进行。出厂检验项目中注有“*”标记的，企业应当每年检验2次。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啤酒产品质量检验项目表</w:t>
      </w:r>
    </w:p>
    <w:tbl>
      <w:tblPr>
        <w:tblStyle w:val="10"/>
        <w:tblW w:w="87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160"/>
        <w:gridCol w:w="900"/>
        <w:gridCol w:w="1080"/>
        <w:gridCol w:w="960"/>
        <w:gridCol w:w="2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检验项目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发证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监督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出厂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色度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净含量负偏差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外观透明度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对非瓶装的鲜啤酒不要求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浊度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对非瓶装的鲜啤酒不要求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泡沫形态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泡持性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对桶装（鲜、生、熟）的啤酒不要求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香气和口味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酒精度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原麦汁浓度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总酸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二氧化碳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大桶包装的鲜啤酒可不检此项目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双乙酰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对浓色和黑色啤酒不要求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蔗糖转化酶活性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仅对生啤酒和鲜啤酒有要求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真正发酵度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仅对干啤酒有要求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菌落总数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*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对生、鲜啤酒不要求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大肠菌群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适用鲜啤酒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theme="minorEastAsia"/>
                <w:color w:val="333333"/>
                <w:sz w:val="24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theme="minorEastAsia"/>
                <w:color w:val="333333"/>
                <w:sz w:val="24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theme="minorEastAsia"/>
                <w:color w:val="333333"/>
                <w:sz w:val="24"/>
              </w:rPr>
            </w:pPr>
          </w:p>
        </w:tc>
        <w:tc>
          <w:tcPr>
            <w:tcW w:w="1080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theme="minorEastAsia"/>
                <w:color w:val="333333"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*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适用鲜啤酒以外的啤酒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铅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*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甲醛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*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肠道致病菌（沙门氏菌、志贺氏菌、金黄色葡萄球菌）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*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21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标签</w:t>
            </w:r>
          </w:p>
        </w:tc>
        <w:tc>
          <w:tcPr>
            <w:tcW w:w="90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1080" w:type="dxa"/>
            <w:shd w:val="clear" w:color="auto" w:fill="FFFFFF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√</w:t>
            </w:r>
          </w:p>
        </w:tc>
        <w:tc>
          <w:tcPr>
            <w:tcW w:w="96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2700" w:type="dxa"/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theme="minorEastAsia"/>
                <w:color w:val="333333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</w:tbl>
    <w:p>
      <w:pPr>
        <w:pStyle w:val="9"/>
        <w:widowControl/>
        <w:spacing w:beforeAutospacing="0" w:afterAutospacing="0" w:line="360" w:lineRule="auto"/>
        <w:ind w:firstLine="480"/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  <w:color w:val="000000"/>
          <w:shd w:val="clear" w:color="auto" w:fill="FFFFFF"/>
        </w:rPr>
        <w:t>注:1．标签必须标注的内容：产品名称、原料、酒精度、原麦汁浓度、净含量（净容量）、制造者名称和地址、灌装（生产）日期、保质期、采用标准号及质量等级；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2．啤酒在标签、附标或外包装上应印有“警示语”——“切勿撞击，防止爆瓶”。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（二）项目分类。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1．缺陷项目：菌落总数、大肠菌群、铅、甲醛、肠道致病菌（沙门氏菌、志贺氏菌、金黄色葡萄球菌）。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2．严重瑕疵项目：净含量负偏差、包装、标签、特种啤酒的特征性指标（系指：干啤酒的“真正（实际）发酵度”、冰啤酒的“浊度”）、生啤酒及鲜啤酒的“蔗糖转化酶活性”和双乙酰。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3．一般瑕疵项目：除缺陷项目和严重瑕疵项目以外的其余项目。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（三）判定原则。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1．检验项目全部符合规定的，或只有1项一般瑕疵项目不符合规定且不低于下一个质量等级指标的，判为符合发证条件。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2．其他情况均判为不符合发证条件。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12" w:name="_Toc33024817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八、抽样方法</w:t>
      </w:r>
      <w:bookmarkEnd w:id="12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根据企业申请取证的产品品种，每类随机抽取1种产品进行发证检验。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在企业的成品库内，从同一规格、同一批次的合格产品中随机抽取样品。所抽每个品种应为企业生产的主导产品。听、瓶装啤酒的抽样基数不得少于200箱。桶装啤酒的抽样基数不得少于100桶。净含量≥500mL的抽样数量为24瓶，净含量＜500mL的抽样数量为32瓶、听。桶装啤酒的抽样数量为2桶。所抽样品1/2用于检验，1/2用于备查。核查组抽样人员与被抽查企业陪同人员确认无误后，双方在抽样单上签字、盖章，并当场加贴封条封存样品后送检验机构。封条上应有抽样人员签名、抽样单位盖章和抽样日期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  <w:shd w:val="clear" w:color="auto" w:fill="FFFFFF"/>
          <w:lang w:bidi="ar"/>
        </w:rPr>
      </w:pPr>
      <w:bookmarkStart w:id="13" w:name="_Toc33024818"/>
      <w:r>
        <w:rPr>
          <w:rFonts w:hint="eastAsia" w:ascii="宋体" w:hAnsi="宋体" w:eastAsia="宋体"/>
          <w:sz w:val="24"/>
          <w:szCs w:val="24"/>
          <w:shd w:val="clear" w:color="auto" w:fill="FFFFFF"/>
          <w:lang w:bidi="ar"/>
        </w:rPr>
        <w:t>九、其他要求</w:t>
      </w:r>
      <w:bookmarkEnd w:id="13"/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theme="minorEastAsia"/>
          <w:color w:val="333333"/>
          <w:sz w:val="24"/>
        </w:rPr>
      </w:pPr>
      <w:r>
        <w:rPr>
          <w:rFonts w:hint="eastAsia" w:ascii="宋体" w:hAnsi="宋体" w:eastAsia="宋体" w:cstheme="minorEastAsia"/>
          <w:color w:val="333333"/>
          <w:kern w:val="0"/>
          <w:sz w:val="24"/>
          <w:shd w:val="clear" w:color="auto" w:fill="FFFFFF"/>
          <w:lang w:bidi="ar"/>
        </w:rPr>
        <w:t>瓶装啤酒外包装应使用符合GB/T6543要求的瓦楞纸箱、符合GB/T5738要求的塑料周转箱，或者使用软塑整体包装。瓶装啤酒不得用绳捆扎销售。</w:t>
      </w:r>
    </w:p>
    <w:p>
      <w:pPr>
        <w:spacing w:line="360" w:lineRule="auto"/>
        <w:rPr>
          <w:rFonts w:ascii="宋体" w:hAnsi="宋体" w:eastAsia="宋体" w:cs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6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eastAsia="楷体" w:cs="Times New Roman"/>
                            </w:rPr>
                          </w:pP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eastAsia="楷体" w:cs="Times New Roman"/>
                      </w:rPr>
                    </w:pPr>
                    <w:r>
                      <w:rPr>
                        <w:rFonts w:ascii="Times New Roman" w:hAnsi="Times New Roman" w:eastAsia="楷体" w:cs="Times New Roman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</w:rPr>
                      <w:t xml:space="preserve"> 页 共 </w: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ascii="Times New Roman" w:hAnsi="Times New Roman" w:eastAsia="楷体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left"/>
      <w:rPr>
        <w:rFonts w:hint="eastAsia"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4" w:name="_GoBack"/>
    <w:bookmarkEnd w:id="14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2QyODhlNzk1NGE3YTEwZTEzMzM5NDg5MDFkNzEifQ=="/>
  </w:docVars>
  <w:rsids>
    <w:rsidRoot w:val="003E5746"/>
    <w:rsid w:val="00027036"/>
    <w:rsid w:val="003E5746"/>
    <w:rsid w:val="005A697C"/>
    <w:rsid w:val="00684C87"/>
    <w:rsid w:val="03132E34"/>
    <w:rsid w:val="03E62024"/>
    <w:rsid w:val="09770F68"/>
    <w:rsid w:val="0A4C27E2"/>
    <w:rsid w:val="0AE45CE9"/>
    <w:rsid w:val="0E9D3662"/>
    <w:rsid w:val="100E0B27"/>
    <w:rsid w:val="10CD69D5"/>
    <w:rsid w:val="11CF2CDA"/>
    <w:rsid w:val="11D62A78"/>
    <w:rsid w:val="15C60C3E"/>
    <w:rsid w:val="17121341"/>
    <w:rsid w:val="1AFF1967"/>
    <w:rsid w:val="22596BE5"/>
    <w:rsid w:val="22A4509E"/>
    <w:rsid w:val="25425F32"/>
    <w:rsid w:val="26851D31"/>
    <w:rsid w:val="276568E9"/>
    <w:rsid w:val="29B22103"/>
    <w:rsid w:val="2D362AB8"/>
    <w:rsid w:val="2ECA7514"/>
    <w:rsid w:val="30835119"/>
    <w:rsid w:val="386836B8"/>
    <w:rsid w:val="399872E2"/>
    <w:rsid w:val="3A4E3DC8"/>
    <w:rsid w:val="3A5263C4"/>
    <w:rsid w:val="3ABE2836"/>
    <w:rsid w:val="3B9B0612"/>
    <w:rsid w:val="40010DFD"/>
    <w:rsid w:val="40E91C22"/>
    <w:rsid w:val="436C1481"/>
    <w:rsid w:val="45654279"/>
    <w:rsid w:val="464D14E8"/>
    <w:rsid w:val="47EE6D57"/>
    <w:rsid w:val="49E5062C"/>
    <w:rsid w:val="4DCB39F7"/>
    <w:rsid w:val="4E243059"/>
    <w:rsid w:val="4FC35A0D"/>
    <w:rsid w:val="505E42EC"/>
    <w:rsid w:val="50C65580"/>
    <w:rsid w:val="52B07527"/>
    <w:rsid w:val="52EF4921"/>
    <w:rsid w:val="564205E8"/>
    <w:rsid w:val="5BEE7331"/>
    <w:rsid w:val="5EBD280F"/>
    <w:rsid w:val="60DD6414"/>
    <w:rsid w:val="61C11015"/>
    <w:rsid w:val="67C40926"/>
    <w:rsid w:val="6AAD6371"/>
    <w:rsid w:val="6DBA2DAB"/>
    <w:rsid w:val="6F7D7813"/>
    <w:rsid w:val="71F67977"/>
    <w:rsid w:val="738E34EE"/>
    <w:rsid w:val="7735193A"/>
    <w:rsid w:val="7A8732DA"/>
    <w:rsid w:val="7AAC31AB"/>
    <w:rsid w:val="7FA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39"/>
    <w:pPr>
      <w:ind w:left="840" w:leftChars="4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标题 3 Char"/>
    <w:basedOn w:val="11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2329</Words>
  <Characters>2485</Characters>
  <Lines>25</Lines>
  <Paragraphs>7</Paragraphs>
  <TotalTime>8</TotalTime>
  <ScaleCrop>false</ScaleCrop>
  <LinksUpToDate>false</LinksUpToDate>
  <CharactersWithSpaces>2514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WRS 86</dc:creator>
  <cp:lastModifiedBy>Terry</cp:lastModifiedBy>
  <dcterms:modified xsi:type="dcterms:W3CDTF">2024-06-14T03:27:26Z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4E86AC96A2234F9BA855B1C18B0147AF_12</vt:lpwstr>
  </property>
</Properties>
</file>