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糖果制品生产许可证审查细则(2006版)</w:t>
      </w:r>
    </w:p>
    <w:sdt>
      <w:sdtPr>
        <w:rPr>
          <w:rFonts w:ascii="宋体" w:hAnsi="宋体" w:eastAsia="宋体" w:cs="Times New Roman"/>
          <w:color w:val="auto"/>
          <w:kern w:val="2"/>
          <w:sz w:val="24"/>
          <w:szCs w:val="24"/>
          <w:lang w:val="zh-CN"/>
        </w:rPr>
        <w:id w:val="1570998507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20"/>
            <w:spacing w:before="0" w:line="360" w:lineRule="auto"/>
            <w:jc w:val="center"/>
            <w:rPr>
              <w:rFonts w:ascii="宋体" w:hAnsi="宋体" w:eastAsia="宋体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eastAsia="宋体"/>
              <w:b/>
              <w:color w:val="000000" w:themeColor="text1"/>
              <w:sz w:val="24"/>
              <w:szCs w:val="2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TOC \o "1-3" \h \z \u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"_Toc33031137"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一、发证产品范围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_Toc33031137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"_Toc33031138"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二、基本生产流程及关键控制环节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_Toc33031138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"_Toc33031139"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（一）基本生产流程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_Toc33031139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"_Toc33031140"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"_Toc33031141"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（三）容易出现的质量安全问题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"_Toc33031142"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三、必备的生产资源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"_Toc33031143"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（一）生产场所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"_Toc33031144"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（二）必备的生产设备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_Toc33031144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"_Toc33031145"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四、产品相关标准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"_Toc33031146"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五、原辅材料的有关要求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_Toc33031146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"_Toc33031147"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六、必备的出厂检验设备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"_Toc33031148"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七、检验项目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"_Toc33031149"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八、抽样方法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_Toc33031149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sz w:val="24"/>
        </w:rPr>
        <w:t>糖果制品生产许可证审查细则(2006版)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0" w:name="_Toc33031137"/>
      <w:r>
        <w:rPr>
          <w:rFonts w:ascii="宋体" w:hAnsi="宋体" w:eastAsia="宋体"/>
          <w:sz w:val="24"/>
          <w:szCs w:val="24"/>
        </w:rPr>
        <w:t>一、发证产品范围</w:t>
      </w:r>
      <w:bookmarkEnd w:id="0"/>
    </w:p>
    <w:p>
      <w:pPr>
        <w:pStyle w:val="10"/>
        <w:spacing w:after="0"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实施食品生产许可证管理的糖果包括以白砂糖（或其他食糖）、淀粉糖浆或甜味剂为主要原料制成的固态或半固态甜味食品。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" w:name="_Toc33031138"/>
      <w:r>
        <w:rPr>
          <w:rFonts w:ascii="宋体" w:hAnsi="宋体" w:eastAsia="宋体"/>
          <w:sz w:val="24"/>
          <w:szCs w:val="24"/>
        </w:rPr>
        <w:t>二、基本生产流程及关键控制环节</w:t>
      </w:r>
      <w:bookmarkEnd w:id="1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2" w:name="_Toc33031139"/>
      <w:r>
        <w:rPr>
          <w:rFonts w:ascii="宋体" w:hAnsi="宋体"/>
          <w:sz w:val="24"/>
          <w:szCs w:val="24"/>
        </w:rPr>
        <w:t>（一）基本生产流程</w:t>
      </w:r>
      <w:bookmarkEnd w:id="2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1. 硬糖、乳脂糖果等：砂糖、淀粉糖浆→溶糖→过滤→油脂混合（乳脂糖果）→熬煮→充气（充气糖果）→冷却→调和→成型→冷却→挑选→包装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2．凝胶糖果：砂糖、淀粉糖浆→溶糖→过滤→凝胶剂熬煮→浇模→干燥→（筛分→清粉→拌砂→）包装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3．胶基糖果：胶基预热→搅拌（加入各种原料和添加剂）→出料→成型→包装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4．压片糖果：原料混合→压片成型→包装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3" w:name="_Toc33031140"/>
      <w:r>
        <w:rPr>
          <w:rFonts w:ascii="宋体" w:hAnsi="宋体"/>
          <w:sz w:val="24"/>
          <w:szCs w:val="24"/>
        </w:rPr>
        <w:t>（二）关键控制环节</w:t>
      </w:r>
      <w:bookmarkEnd w:id="3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1.还原糖控制。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2.焦香糖果焦香化处理控制。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3.充气糖果充气程度的控制。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4.凝胶糖果凝胶剂的使用技术。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5.成品包装控制。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4" w:name="_Toc33031141"/>
      <w:r>
        <w:rPr>
          <w:rFonts w:ascii="宋体" w:hAnsi="宋体"/>
          <w:sz w:val="24"/>
          <w:szCs w:val="24"/>
        </w:rPr>
        <w:t>（三）容易出现的质量安全问题</w:t>
      </w:r>
      <w:bookmarkEnd w:id="4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1．返砂或发烊。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2．水分或还原糖含量不合格。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3．乳脂糖产品蛋白质、脂肪不合格。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4．含乳糖果和充气糖果,由于加入了奶制品，容易造成微生物指标超标。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5" w:name="_Toc33031142"/>
      <w:r>
        <w:rPr>
          <w:rFonts w:ascii="宋体" w:hAnsi="宋体" w:eastAsia="宋体"/>
          <w:sz w:val="24"/>
          <w:szCs w:val="24"/>
        </w:rPr>
        <w:t>三、必备的生产资源</w:t>
      </w:r>
      <w:bookmarkEnd w:id="5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6" w:name="_Toc33031143"/>
      <w:r>
        <w:rPr>
          <w:rFonts w:ascii="宋体" w:hAnsi="宋体"/>
          <w:sz w:val="24"/>
          <w:szCs w:val="24"/>
        </w:rPr>
        <w:t>（一）生产场所</w:t>
      </w:r>
      <w:bookmarkEnd w:id="6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  糖果生产企业除必须具备必备的生产环境外，还应当有与企业生产相适应的原辅料库、生产车间、成品库和检验室。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7" w:name="_Toc33031144"/>
      <w:r>
        <w:rPr>
          <w:rFonts w:ascii="宋体" w:hAnsi="宋体"/>
          <w:sz w:val="24"/>
          <w:szCs w:val="24"/>
        </w:rPr>
        <w:t>（二）必备的生产设备</w:t>
      </w:r>
      <w:bookmarkEnd w:id="7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1．胶基糖果：（1）预热搅拌设备；（2）成型设备；（3）包装设备。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2．压片糖果：（3）混合搅拌设备；（2）压片成型设备；（3）包装设备。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3．其他糖果（除胶基糖果和压片糖果以外）： （1）化糖设备；（2）熬煮设备；（3）冷却设备；（4）充气设备（充气糖果必备）；（5）成型设备；（6）包装设备（异型产品除外）。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8" w:name="_Toc33031145"/>
      <w:r>
        <w:rPr>
          <w:rFonts w:ascii="宋体" w:hAnsi="宋体" w:eastAsia="宋体"/>
          <w:sz w:val="24"/>
          <w:szCs w:val="24"/>
        </w:rPr>
        <w:t>四、产品相关标准</w:t>
      </w:r>
      <w:bookmarkEnd w:id="8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</w:t>
      </w:r>
      <w:r>
        <w:rPr>
          <w:rFonts w:ascii="宋体" w:hAnsi="宋体"/>
          <w:sz w:val="24"/>
        </w:rPr>
        <w:t xml:space="preserve"> GB 9678.1－2003《糖果卫生标准》；GB 17399－2003《胶基糖卫生标准》；SB 10018－2001《硬质糖果》；SB 10019－2001《硬质夹心糖果》；SB 10020－2001《乳脂糖果》；SB 10021－2001《凝胶糖果》；SB 10022－2001《抛光糖果》；SB 10023－2001《胶基糖果》；SB 10104－2001《充气糖果》；SB 10347－2001《压片糖果》；有效的糖果地方标准；备案有效的企业标准。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9" w:name="_Toc33031146"/>
      <w:r>
        <w:rPr>
          <w:rFonts w:ascii="宋体" w:hAnsi="宋体" w:eastAsia="宋体"/>
          <w:sz w:val="24"/>
          <w:szCs w:val="24"/>
        </w:rPr>
        <w:t>五、原辅材料的有关要求</w:t>
      </w:r>
      <w:bookmarkEnd w:id="9"/>
    </w:p>
    <w:p>
      <w:pPr>
        <w:pStyle w:val="10"/>
        <w:spacing w:after="0"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企业生产糖果所用的原辅材料必须符合国家标准和行业标准的规定。如使用的原辅材料为实施生产许可证管理的产品，必须选用获得生产许可证企业生产的产品。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0" w:name="_Toc33031147"/>
      <w:r>
        <w:rPr>
          <w:rFonts w:ascii="宋体" w:hAnsi="宋体" w:eastAsia="宋体"/>
          <w:sz w:val="24"/>
          <w:szCs w:val="24"/>
        </w:rPr>
        <w:t>六、必备的出厂检验设备</w:t>
      </w:r>
      <w:bookmarkEnd w:id="10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（一）天平(0.1g)；（二）分析天平（0.1mg）；（三）真空烘箱；（四）滴定装置；（五）无菌室或超净工作台；（六）杀菌锅；（七）微生物培养箱；（八）干燥箱。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1" w:name="_Toc33031148"/>
      <w:r>
        <w:rPr>
          <w:rFonts w:ascii="宋体" w:hAnsi="宋体" w:eastAsia="宋体"/>
          <w:sz w:val="24"/>
          <w:szCs w:val="24"/>
        </w:rPr>
        <w:t>七、检验项目</w:t>
      </w:r>
      <w:bookmarkEnd w:id="11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糖果的发证检验、监督检验和出厂检验按表中列出的检验项目进行。出厂检验项目中注有“*”标记的，企业应当每年检验2次。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糖果产品质量检验项目表</w:t>
      </w:r>
    </w:p>
    <w:tbl>
      <w:tblPr>
        <w:tblStyle w:val="11"/>
        <w:tblW w:w="0" w:type="auto"/>
        <w:jc w:val="center"/>
        <w:tblCellSpacing w:w="0" w:type="dxa"/>
        <w:tblBorders>
          <w:top w:val="outset" w:color="FFFFFF" w:sz="6" w:space="0"/>
          <w:left w:val="outset" w:color="FFFFFF" w:sz="6" w:space="0"/>
          <w:bottom w:val="outset" w:color="FFFFFF" w:sz="6" w:space="0"/>
          <w:right w:val="outset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1648"/>
        <w:gridCol w:w="1014"/>
        <w:gridCol w:w="1030"/>
        <w:gridCol w:w="951"/>
        <w:gridCol w:w="3470"/>
      </w:tblGrid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检验项目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发证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监督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出厂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感官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净含量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干燥失重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还原糖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抛光糖果、胶基糖果、压片糖果不要求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脂肪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乳脂糖果，中、低度充气糖果测定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蛋白质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乳脂糖果测定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铅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总砷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铜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锌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胶基糖果测定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二氧化硫残留量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着色剂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根据产品色泽选择测定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菌落总数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大肠菌群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霉菌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胶基糖果测定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致病菌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7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4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标签</w:t>
            </w:r>
          </w:p>
        </w:tc>
        <w:tc>
          <w:tcPr>
            <w:tcW w:w="1014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103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9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47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注：1．致病菌指沙门氏菌、志贺氏菌、金黄色葡萄球菌。</w:t>
      </w:r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    2．标签要求：单件包装标签应符合GB7718的规定，还应注明产品的类型。配料中原果汁含量低于2.5％的产品，不得标为果汁XX糖果；含水果固形物的产品可标为水果XX糖果。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2" w:name="_Toc33031149"/>
      <w:r>
        <w:rPr>
          <w:rFonts w:ascii="宋体" w:hAnsi="宋体" w:eastAsia="宋体"/>
          <w:sz w:val="24"/>
          <w:szCs w:val="24"/>
        </w:rPr>
        <w:t>八、抽样方法</w:t>
      </w:r>
      <w:bookmarkEnd w:id="12"/>
    </w:p>
    <w:p>
      <w:pPr>
        <w:pStyle w:val="10"/>
        <w:spacing w:after="0" w:line="360" w:lineRule="auto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    </w:t>
      </w:r>
      <w:r>
        <w:rPr>
          <w:rFonts w:ascii="宋体" w:hAnsi="宋体"/>
          <w:sz w:val="24"/>
        </w:rPr>
        <w:t>发证检验抽样应当按照下列规定进行。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    根据企业所申请产品品种，随机抽取1种主导产品进行发证检验，如有乳脂糖果产品，需增加抽取该类产品。在企业的成品库内随机抽取发证检验样品。所抽样品须为同一批次保质期内的产品，抽样基数不少于50kg，随机抽取2kg（不少于30个最小包装），样品分成2份，每份样品为1kg， 1份检验，1份备查。样品确认无误后，由核查组抽样人员与被抽查单位在抽样单上签字、盖章，当场封存样品，并加贴封条。封条上应有抽样人员签名、抽样单位盖章及抽样日期。抽样单上应注明产品类型</w:t>
      </w:r>
      <w:r>
        <w:rPr>
          <w:rFonts w:hint="eastAsia" w:ascii="宋体" w:hAnsi="宋体"/>
          <w:sz w:val="24"/>
        </w:rPr>
        <w:t>。</w:t>
      </w:r>
    </w:p>
    <w:p>
      <w:pPr>
        <w:widowControl/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247" w:right="1701" w:bottom="1247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楷体" w:hAnsi="楷体" w:eastAsia="楷体" w:cs="楷体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 食品标签审核 食品生产许可办理  食品企业培训 企标备案</w:t>
    </w:r>
  </w:p>
  <w:p>
    <w:pPr>
      <w:pStyle w:val="7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1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5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1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5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楷体" w:hAnsi="楷体" w:eastAsia="楷体" w:cs="楷体"/>
        <w:sz w:val="21"/>
        <w:szCs w:val="21"/>
      </w:rPr>
    </w:pPr>
    <w: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</w:rPr>
      <w:t xml:space="preserve">       电话：152 01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bookmarkStart w:id="13" w:name="_GoBack"/>
    <w:bookmarkEnd w:id="13"/>
    <w:r>
      <w:rPr>
        <w:rFonts w:hint="eastAsia" w:ascii="楷体" w:hAnsi="楷体" w:eastAsia="楷体" w:cs="楷体"/>
        <w:sz w:val="21"/>
        <w:szCs w:val="21"/>
      </w:rPr>
      <w:t>0 3266（微信同号）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CB231E"/>
    <w:rsid w:val="0012622B"/>
    <w:rsid w:val="0016564A"/>
    <w:rsid w:val="00214CDC"/>
    <w:rsid w:val="003661A5"/>
    <w:rsid w:val="003C322E"/>
    <w:rsid w:val="004E2BB3"/>
    <w:rsid w:val="006259BC"/>
    <w:rsid w:val="0065422A"/>
    <w:rsid w:val="00670369"/>
    <w:rsid w:val="006C42D2"/>
    <w:rsid w:val="00707C49"/>
    <w:rsid w:val="00827D09"/>
    <w:rsid w:val="008616BF"/>
    <w:rsid w:val="00874C51"/>
    <w:rsid w:val="008C0F1D"/>
    <w:rsid w:val="00B97A88"/>
    <w:rsid w:val="00C53DEA"/>
    <w:rsid w:val="00C57B15"/>
    <w:rsid w:val="00CB231E"/>
    <w:rsid w:val="00E65D29"/>
    <w:rsid w:val="5591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0">
    <w:name w:val="Body Text 2"/>
    <w:basedOn w:val="1"/>
    <w:link w:val="15"/>
    <w:qFormat/>
    <w:uiPriority w:val="0"/>
    <w:pPr>
      <w:spacing w:after="120" w:line="480" w:lineRule="auto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正文文本 2 Char"/>
    <w:basedOn w:val="12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2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3 Char"/>
    <w:basedOn w:val="12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1713</Words>
  <Characters>1842</Characters>
  <Lines>21</Lines>
  <Paragraphs>6</Paragraphs>
  <TotalTime>34</TotalTime>
  <ScaleCrop>false</ScaleCrop>
  <LinksUpToDate>false</LinksUpToDate>
  <CharactersWithSpaces>2014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2019-06-03T02:00:00Z</dcterms:created>
  <dc:creator>HH</dc:creator>
  <cp:lastModifiedBy>Terry</cp:lastModifiedBy>
  <cp:lastPrinted>2019-06-03T05:39:00Z</cp:lastPrinted>
  <dcterms:modified xsi:type="dcterms:W3CDTF">2024-06-14T03:24:37Z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47E86675DE89491CBBE5F30E3A4F0258_12</vt:lpwstr>
  </property>
</Properties>
</file>