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r>
        <w:rPr>
          <w:rFonts w:hint="eastAsia" w:ascii="宋体" w:hAnsi="宋体"/>
          <w:b/>
          <w:sz w:val="24"/>
        </w:rPr>
        <w:t>薯类食品生产许可证审查细则（2006版）</w:t>
      </w:r>
    </w:p>
    <w:sdt>
      <w:sdtPr>
        <w:rPr>
          <w:rFonts w:ascii="宋体" w:hAnsi="宋体" w:eastAsia="宋体" w:cs="Times New Roman"/>
          <w:color w:val="auto"/>
          <w:kern w:val="2"/>
          <w:sz w:val="24"/>
          <w:szCs w:val="24"/>
          <w:lang w:val="zh-CN"/>
        </w:rPr>
        <w:id w:val="1570998507"/>
        <w:docPartObj>
          <w:docPartGallery w:val="Table of Contents"/>
          <w:docPartUnique/>
        </w:docPartObj>
      </w:sdtPr>
      <w:sdtEndPr>
        <w:rPr>
          <w:rFonts w:ascii="宋体" w:hAnsi="宋体" w:eastAsia="宋体" w:cs="Times New Roman"/>
          <w:b/>
          <w:bCs/>
          <w:color w:val="auto"/>
          <w:kern w:val="2"/>
          <w:sz w:val="24"/>
          <w:szCs w:val="24"/>
          <w:lang w:val="zh-CN"/>
        </w:rPr>
      </w:sdtEndPr>
      <w:sdtContent>
        <w:p>
          <w:pPr>
            <w:pStyle w:val="20"/>
            <w:spacing w:before="0" w:line="360" w:lineRule="auto"/>
            <w:jc w:val="center"/>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lang w:val="zh-CN"/>
              <w14:textFill>
                <w14:solidFill>
                  <w14:schemeClr w14:val="tx1"/>
                </w14:solidFill>
              </w14:textFill>
            </w:rPr>
            <w:t>目录</w:t>
          </w:r>
        </w:p>
        <w:p>
          <w:pPr>
            <w:pStyle w:val="9"/>
            <w:tabs>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"_Toc33036719" </w:instrText>
          </w:r>
          <w:r>
            <w:fldChar w:fldCharType="separate"/>
          </w:r>
          <w:r>
            <w:rPr>
              <w:rStyle w:val="13"/>
              <w:rFonts w:hint="eastAsia" w:ascii="宋体" w:hAnsi="宋体"/>
              <w:sz w:val="24"/>
            </w:rPr>
            <w:t>一、发证产品范围及申证单元</w:t>
          </w:r>
          <w:r>
            <w:rPr>
              <w:rFonts w:ascii="宋体" w:hAnsi="宋体"/>
              <w:sz w:val="24"/>
            </w:rPr>
            <w:tab/>
          </w:r>
          <w:r>
            <w:rPr>
              <w:rFonts w:ascii="宋体" w:hAnsi="宋体"/>
              <w:sz w:val="24"/>
            </w:rPr>
            <w:fldChar w:fldCharType="begin"/>
          </w:r>
          <w:r>
            <w:rPr>
              <w:rFonts w:ascii="宋体" w:hAnsi="宋体"/>
              <w:sz w:val="24"/>
            </w:rPr>
            <w:instrText xml:space="preserve"> PAGEREF _Toc33036719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"_Toc33036720" </w:instrText>
          </w:r>
          <w:r>
            <w:fldChar w:fldCharType="separate"/>
          </w:r>
          <w:r>
            <w:rPr>
              <w:rStyle w:val="13"/>
              <w:rFonts w:hint="eastAsia" w:ascii="宋体" w:hAnsi="宋体"/>
              <w:sz w:val="24"/>
            </w:rPr>
            <w:t>二、基本生产流程及关键控制环节</w:t>
          </w:r>
          <w:r>
            <w:rPr>
              <w:rFonts w:ascii="宋体" w:hAnsi="宋体"/>
              <w:sz w:val="24"/>
            </w:rPr>
            <w:tab/>
          </w:r>
          <w:r>
            <w:rPr>
              <w:rFonts w:ascii="宋体" w:hAnsi="宋体"/>
              <w:sz w:val="24"/>
            </w:rPr>
            <w:fldChar w:fldCharType="begin"/>
          </w:r>
          <w:r>
            <w:rPr>
              <w:rFonts w:ascii="宋体" w:hAnsi="宋体"/>
              <w:sz w:val="24"/>
            </w:rPr>
            <w:instrText xml:space="preserve"> PAGEREF _Toc33036720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"_Toc33036721" </w:instrText>
          </w:r>
          <w:r>
            <w:fldChar w:fldCharType="separate"/>
          </w:r>
          <w:r>
            <w:rPr>
              <w:rStyle w:val="13"/>
              <w:rFonts w:hint="eastAsia" w:ascii="宋体" w:hAnsi="宋体"/>
              <w:sz w:val="24"/>
            </w:rPr>
            <w:t>（一）基本生产流程</w:t>
          </w:r>
          <w:r>
            <w:rPr>
              <w:rFonts w:ascii="宋体" w:hAnsi="宋体"/>
              <w:sz w:val="24"/>
            </w:rPr>
            <w:tab/>
          </w:r>
          <w:r>
            <w:rPr>
              <w:rFonts w:ascii="宋体" w:hAnsi="宋体"/>
              <w:sz w:val="24"/>
            </w:rPr>
            <w:fldChar w:fldCharType="begin"/>
          </w:r>
          <w:r>
            <w:rPr>
              <w:rFonts w:ascii="宋体" w:hAnsi="宋体"/>
              <w:sz w:val="24"/>
            </w:rPr>
            <w:instrText xml:space="preserve"> PAGEREF _Toc33036721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"_Toc33036722" </w:instrText>
          </w:r>
          <w:r>
            <w:fldChar w:fldCharType="separate"/>
          </w:r>
          <w:r>
            <w:rPr>
              <w:rStyle w:val="13"/>
              <w:rFonts w:hint="eastAsia" w:ascii="宋体" w:hAnsi="宋体"/>
              <w:sz w:val="24"/>
            </w:rPr>
            <w:t>（二）关键控制环节</w:t>
          </w:r>
          <w:r>
            <w:rPr>
              <w:rFonts w:ascii="宋体" w:hAnsi="宋体"/>
              <w:sz w:val="24"/>
            </w:rPr>
            <w:tab/>
          </w:r>
          <w:r>
            <w:rPr>
              <w:rFonts w:ascii="宋体" w:hAnsi="宋体"/>
              <w:sz w:val="24"/>
            </w:rPr>
            <w:fldChar w:fldCharType="begin"/>
          </w:r>
          <w:r>
            <w:rPr>
              <w:rFonts w:ascii="宋体" w:hAnsi="宋体"/>
              <w:sz w:val="24"/>
            </w:rPr>
            <w:instrText xml:space="preserve"> PAGEREF _Toc33036722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"_Toc33036723" </w:instrText>
          </w:r>
          <w:r>
            <w:fldChar w:fldCharType="separate"/>
          </w:r>
          <w:r>
            <w:rPr>
              <w:rStyle w:val="13"/>
              <w:rFonts w:hint="eastAsia" w:ascii="宋体" w:hAnsi="宋体"/>
              <w:sz w:val="24"/>
            </w:rPr>
            <w:t>（三）容易出现的质量问题</w:t>
          </w:r>
          <w:r>
            <w:rPr>
              <w:rFonts w:ascii="宋体" w:hAnsi="宋体"/>
              <w:sz w:val="24"/>
            </w:rPr>
            <w:tab/>
          </w:r>
          <w:r>
            <w:rPr>
              <w:rFonts w:ascii="宋体" w:hAnsi="宋体"/>
              <w:sz w:val="24"/>
            </w:rPr>
            <w:fldChar w:fldCharType="begin"/>
          </w:r>
          <w:r>
            <w:rPr>
              <w:rFonts w:ascii="宋体" w:hAnsi="宋体"/>
              <w:sz w:val="24"/>
            </w:rPr>
            <w:instrText xml:space="preserve"> PAGEREF _Toc33036723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"_Toc33036724" </w:instrText>
          </w:r>
          <w:r>
            <w:fldChar w:fldCharType="separate"/>
          </w:r>
          <w:r>
            <w:rPr>
              <w:rStyle w:val="13"/>
              <w:rFonts w:hint="eastAsia" w:ascii="宋体" w:hAnsi="宋体"/>
              <w:sz w:val="24"/>
            </w:rPr>
            <w:t>三、必备的生产资源</w:t>
          </w:r>
          <w:r>
            <w:rPr>
              <w:rFonts w:ascii="宋体" w:hAnsi="宋体"/>
              <w:sz w:val="24"/>
            </w:rPr>
            <w:tab/>
          </w:r>
          <w:r>
            <w:rPr>
              <w:rFonts w:ascii="宋体" w:hAnsi="宋体"/>
              <w:sz w:val="24"/>
            </w:rPr>
            <w:fldChar w:fldCharType="begin"/>
          </w:r>
          <w:r>
            <w:rPr>
              <w:rFonts w:ascii="宋体" w:hAnsi="宋体"/>
              <w:sz w:val="24"/>
            </w:rPr>
            <w:instrText xml:space="preserve"> PAGEREF _Toc33036724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"_Toc33036725" </w:instrText>
          </w:r>
          <w:r>
            <w:fldChar w:fldCharType="separate"/>
          </w:r>
          <w:r>
            <w:rPr>
              <w:rStyle w:val="13"/>
              <w:rFonts w:hint="eastAsia" w:ascii="宋体" w:hAnsi="宋体"/>
              <w:sz w:val="24"/>
            </w:rPr>
            <w:t>（一）生产场所</w:t>
          </w:r>
          <w:r>
            <w:rPr>
              <w:rFonts w:ascii="宋体" w:hAnsi="宋体"/>
              <w:sz w:val="24"/>
            </w:rPr>
            <w:tab/>
          </w:r>
          <w:r>
            <w:rPr>
              <w:rFonts w:ascii="宋体" w:hAnsi="宋体"/>
              <w:sz w:val="24"/>
            </w:rPr>
            <w:fldChar w:fldCharType="begin"/>
          </w:r>
          <w:r>
            <w:rPr>
              <w:rFonts w:ascii="宋体" w:hAnsi="宋体"/>
              <w:sz w:val="24"/>
            </w:rPr>
            <w:instrText xml:space="preserve"> PAGEREF _Toc33036725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"_Toc33036726" </w:instrText>
          </w:r>
          <w:r>
            <w:fldChar w:fldCharType="separate"/>
          </w:r>
          <w:r>
            <w:rPr>
              <w:rStyle w:val="13"/>
              <w:rFonts w:hint="eastAsia" w:ascii="宋体" w:hAnsi="宋体"/>
              <w:sz w:val="24"/>
            </w:rPr>
            <w:t>（二）必备的生产设备</w:t>
          </w:r>
          <w:r>
            <w:rPr>
              <w:rFonts w:ascii="宋体" w:hAnsi="宋体"/>
              <w:sz w:val="24"/>
            </w:rPr>
            <w:tab/>
          </w:r>
          <w:r>
            <w:rPr>
              <w:rFonts w:ascii="宋体" w:hAnsi="宋体"/>
              <w:sz w:val="24"/>
            </w:rPr>
            <w:fldChar w:fldCharType="begin"/>
          </w:r>
          <w:r>
            <w:rPr>
              <w:rFonts w:ascii="宋体" w:hAnsi="宋体"/>
              <w:sz w:val="24"/>
            </w:rPr>
            <w:instrText xml:space="preserve"> PAGEREF _Toc33036726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"_Toc33036727" </w:instrText>
          </w:r>
          <w:r>
            <w:fldChar w:fldCharType="separate"/>
          </w:r>
          <w:r>
            <w:rPr>
              <w:rStyle w:val="13"/>
              <w:rFonts w:hint="eastAsia" w:ascii="宋体" w:hAnsi="宋体"/>
              <w:sz w:val="24"/>
            </w:rPr>
            <w:t>四、产品相关标准</w:t>
          </w:r>
          <w:r>
            <w:rPr>
              <w:rFonts w:ascii="宋体" w:hAnsi="宋体"/>
              <w:sz w:val="24"/>
            </w:rPr>
            <w:tab/>
          </w:r>
          <w:r>
            <w:rPr>
              <w:rFonts w:ascii="宋体" w:hAnsi="宋体"/>
              <w:sz w:val="24"/>
            </w:rPr>
            <w:fldChar w:fldCharType="begin"/>
          </w:r>
          <w:r>
            <w:rPr>
              <w:rFonts w:ascii="宋体" w:hAnsi="宋体"/>
              <w:sz w:val="24"/>
            </w:rPr>
            <w:instrText xml:space="preserve"> PAGEREF _Toc33036727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"_Toc33036728" </w:instrText>
          </w:r>
          <w:r>
            <w:fldChar w:fldCharType="separate"/>
          </w:r>
          <w:r>
            <w:rPr>
              <w:rStyle w:val="13"/>
              <w:rFonts w:hint="eastAsia" w:ascii="宋体" w:hAnsi="宋体"/>
              <w:sz w:val="24"/>
            </w:rPr>
            <w:t>五、原辅材料的有关要求</w:t>
          </w:r>
          <w:r>
            <w:rPr>
              <w:rFonts w:ascii="宋体" w:hAnsi="宋体"/>
              <w:sz w:val="24"/>
            </w:rPr>
            <w:tab/>
          </w:r>
          <w:r>
            <w:rPr>
              <w:rFonts w:ascii="宋体" w:hAnsi="宋体"/>
              <w:sz w:val="24"/>
            </w:rPr>
            <w:fldChar w:fldCharType="begin"/>
          </w:r>
          <w:r>
            <w:rPr>
              <w:rFonts w:ascii="宋体" w:hAnsi="宋体"/>
              <w:sz w:val="24"/>
            </w:rPr>
            <w:instrText xml:space="preserve"> PAGEREF _Toc33036728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"_Toc33036729" </w:instrText>
          </w:r>
          <w:r>
            <w:fldChar w:fldCharType="separate"/>
          </w:r>
          <w:r>
            <w:rPr>
              <w:rStyle w:val="13"/>
              <w:rFonts w:hint="eastAsia" w:ascii="宋体" w:hAnsi="宋体"/>
              <w:sz w:val="24"/>
            </w:rPr>
            <w:t>六、必备的出厂检验设备</w:t>
          </w:r>
          <w:r>
            <w:rPr>
              <w:rFonts w:ascii="宋体" w:hAnsi="宋体"/>
              <w:sz w:val="24"/>
            </w:rPr>
            <w:tab/>
          </w:r>
          <w:r>
            <w:rPr>
              <w:rFonts w:ascii="宋体" w:hAnsi="宋体"/>
              <w:sz w:val="24"/>
            </w:rPr>
            <w:fldChar w:fldCharType="begin"/>
          </w:r>
          <w:r>
            <w:rPr>
              <w:rFonts w:ascii="宋体" w:hAnsi="宋体"/>
              <w:sz w:val="24"/>
            </w:rPr>
            <w:instrText xml:space="preserve"> PAGEREF _Toc33036729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"_Toc33036730" </w:instrText>
          </w:r>
          <w:r>
            <w:fldChar w:fldCharType="separate"/>
          </w:r>
          <w:r>
            <w:rPr>
              <w:rStyle w:val="13"/>
              <w:rFonts w:hint="eastAsia" w:ascii="宋体" w:hAnsi="宋体"/>
              <w:sz w:val="24"/>
            </w:rPr>
            <w:t>七、检验项目</w:t>
          </w:r>
          <w:r>
            <w:rPr>
              <w:rFonts w:ascii="宋体" w:hAnsi="宋体"/>
              <w:sz w:val="24"/>
            </w:rPr>
            <w:tab/>
          </w:r>
          <w:r>
            <w:rPr>
              <w:rFonts w:ascii="宋体" w:hAnsi="宋体"/>
              <w:sz w:val="24"/>
            </w:rPr>
            <w:fldChar w:fldCharType="begin"/>
          </w:r>
          <w:r>
            <w:rPr>
              <w:rFonts w:ascii="宋体" w:hAnsi="宋体"/>
              <w:sz w:val="24"/>
            </w:rPr>
            <w:instrText xml:space="preserve"> PAGEREF _Toc33036730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"_Toc33036731" </w:instrText>
          </w:r>
          <w:r>
            <w:fldChar w:fldCharType="separate"/>
          </w:r>
          <w:r>
            <w:rPr>
              <w:rStyle w:val="13"/>
              <w:rFonts w:hint="eastAsia" w:ascii="宋体" w:hAnsi="宋体"/>
              <w:sz w:val="24"/>
            </w:rPr>
            <w:t>八、抽样方法</w:t>
          </w:r>
          <w:r>
            <w:rPr>
              <w:rFonts w:ascii="宋体" w:hAnsi="宋体"/>
              <w:sz w:val="24"/>
            </w:rPr>
            <w:tab/>
          </w:r>
          <w:r>
            <w:rPr>
              <w:rFonts w:ascii="宋体" w:hAnsi="宋体"/>
              <w:sz w:val="24"/>
            </w:rPr>
            <w:fldChar w:fldCharType="begin"/>
          </w:r>
          <w:r>
            <w:rPr>
              <w:rFonts w:ascii="宋体" w:hAnsi="宋体"/>
              <w:sz w:val="24"/>
            </w:rPr>
            <w:instrText xml:space="preserve"> PAGEREF _Toc33036731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spacing w:line="360" w:lineRule="auto"/>
            <w:rPr>
              <w:rFonts w:ascii="宋体" w:hAnsi="宋体"/>
              <w:sz w:val="24"/>
            </w:rPr>
          </w:pPr>
          <w:r>
            <w:rPr>
              <w:rFonts w:ascii="宋体" w:hAnsi="宋体"/>
              <w:b/>
              <w:bCs/>
              <w:sz w:val="24"/>
              <w:lang w:val="zh-CN"/>
            </w:rPr>
            <w:fldChar w:fldCharType="end"/>
          </w:r>
        </w:p>
      </w:sdtContent>
    </w:sdt>
    <w:p>
      <w:pPr>
        <w:spacing w:line="360" w:lineRule="auto"/>
        <w:rPr>
          <w:rFonts w:ascii="宋体" w:hAnsi="宋体"/>
          <w:b/>
          <w:sz w:val="24"/>
        </w:rPr>
      </w:pPr>
    </w:p>
    <w:p>
      <w:pPr>
        <w:spacing w:line="360" w:lineRule="auto"/>
        <w:jc w:val="center"/>
        <w:rPr>
          <w:rFonts w:hint="eastAsia" w:ascii="宋体" w:hAnsi="宋体"/>
          <w:sz w:val="24"/>
        </w:rPr>
      </w:pPr>
      <w:r>
        <w:rPr>
          <w:rFonts w:ascii="宋体" w:hAnsi="宋体"/>
          <w:sz w:val="24"/>
        </w:rPr>
        <w:br w:type="page"/>
      </w:r>
      <w:r>
        <w:rPr>
          <w:rFonts w:hint="eastAsia" w:ascii="宋体" w:hAnsi="宋体"/>
          <w:b/>
          <w:sz w:val="24"/>
        </w:rPr>
        <w:t>薯类食品生产许可证审查细则（2006版）</w:t>
      </w:r>
    </w:p>
    <w:p>
      <w:pPr>
        <w:pStyle w:val="3"/>
        <w:spacing w:before="0" w:after="0" w:line="360" w:lineRule="auto"/>
        <w:rPr>
          <w:rFonts w:hint="eastAsia" w:ascii="宋体" w:hAnsi="宋体" w:eastAsia="宋体"/>
          <w:sz w:val="24"/>
          <w:szCs w:val="24"/>
        </w:rPr>
      </w:pPr>
      <w:bookmarkStart w:id="0" w:name="_Toc33036719"/>
      <w:r>
        <w:rPr>
          <w:rFonts w:hint="eastAsia" w:ascii="宋体" w:hAnsi="宋体" w:eastAsia="宋体"/>
          <w:sz w:val="24"/>
          <w:szCs w:val="24"/>
        </w:rPr>
        <w:t>一、发证产品范围及申证单元</w:t>
      </w:r>
      <w:bookmarkEnd w:id="0"/>
    </w:p>
    <w:p>
      <w:pPr>
        <w:pStyle w:val="10"/>
        <w:spacing w:after="0" w:line="360" w:lineRule="auto"/>
        <w:rPr>
          <w:rFonts w:hint="eastAsia" w:ascii="宋体" w:hAnsi="宋体"/>
          <w:sz w:val="24"/>
        </w:rPr>
      </w:pPr>
      <w:r>
        <w:rPr>
          <w:rFonts w:hint="eastAsia" w:ascii="宋体" w:hAnsi="宋体"/>
          <w:sz w:val="24"/>
        </w:rPr>
        <w:t xml:space="preserve">    实施食品生产许可证管理的薯类食品是指以薯类为主要原料，经过一定的加工工艺制作而成的食品。薯类食品按加工工艺主要分为干制薯类、冷冻薯类、薯泥（酱）类、薯粉类、其他薯类。</w:t>
      </w:r>
    </w:p>
    <w:p>
      <w:pPr>
        <w:pStyle w:val="10"/>
        <w:spacing w:after="0" w:line="360" w:lineRule="auto"/>
        <w:rPr>
          <w:rFonts w:hint="eastAsia" w:ascii="宋体" w:hAnsi="宋体"/>
          <w:sz w:val="24"/>
        </w:rPr>
      </w:pPr>
      <w:r>
        <w:rPr>
          <w:rFonts w:hint="eastAsia" w:ascii="宋体" w:hAnsi="宋体"/>
          <w:sz w:val="24"/>
        </w:rPr>
        <w:t xml:space="preserve">    薯类食品的申证单元为1个，在生产许可证上应当注明获证产品的名称即薯类食品。生产许可证有效期为3年，其产品类别编号为：1202。</w:t>
      </w:r>
    </w:p>
    <w:p>
      <w:pPr>
        <w:pStyle w:val="3"/>
        <w:spacing w:before="0" w:after="0" w:line="360" w:lineRule="auto"/>
        <w:rPr>
          <w:rFonts w:hint="eastAsia" w:ascii="宋体" w:hAnsi="宋体" w:eastAsia="宋体"/>
          <w:sz w:val="24"/>
          <w:szCs w:val="24"/>
        </w:rPr>
      </w:pPr>
      <w:bookmarkStart w:id="1" w:name="_Toc33036720"/>
      <w:r>
        <w:rPr>
          <w:rFonts w:hint="eastAsia" w:ascii="宋体" w:hAnsi="宋体" w:eastAsia="宋体"/>
          <w:sz w:val="24"/>
          <w:szCs w:val="24"/>
        </w:rPr>
        <w:t>二、基本生产流程及关键控制环节</w:t>
      </w:r>
      <w:bookmarkEnd w:id="1"/>
    </w:p>
    <w:p>
      <w:pPr>
        <w:pStyle w:val="4"/>
        <w:spacing w:before="0" w:after="0" w:line="360" w:lineRule="auto"/>
        <w:rPr>
          <w:rFonts w:hint="eastAsia" w:ascii="宋体" w:hAnsi="宋体"/>
          <w:sz w:val="24"/>
          <w:szCs w:val="24"/>
        </w:rPr>
      </w:pPr>
      <w:bookmarkStart w:id="2" w:name="_Toc33036721"/>
      <w:r>
        <w:rPr>
          <w:rFonts w:hint="eastAsia" w:ascii="宋体" w:hAnsi="宋体"/>
          <w:sz w:val="24"/>
          <w:szCs w:val="24"/>
        </w:rPr>
        <w:t>（一）基本生产流程</w:t>
      </w:r>
      <w:bookmarkEnd w:id="2"/>
    </w:p>
    <w:p>
      <w:pPr>
        <w:pStyle w:val="10"/>
        <w:spacing w:after="0" w:line="360" w:lineRule="auto"/>
        <w:rPr>
          <w:rFonts w:hint="eastAsia" w:ascii="宋体" w:hAnsi="宋体"/>
          <w:sz w:val="24"/>
        </w:rPr>
      </w:pPr>
      <w:r>
        <w:rPr>
          <w:rFonts w:hint="eastAsia" w:ascii="宋体" w:hAnsi="宋体"/>
          <w:sz w:val="24"/>
        </w:rPr>
        <w:t xml:space="preserve">    1．干制薯类的基本生产流程</w:t>
      </w:r>
    </w:p>
    <w:p>
      <w:pPr>
        <w:pStyle w:val="10"/>
        <w:spacing w:after="0" w:line="360" w:lineRule="auto"/>
        <w:rPr>
          <w:rFonts w:hint="eastAsia" w:ascii="宋体" w:hAnsi="宋体"/>
          <w:sz w:val="24"/>
        </w:rPr>
      </w:pPr>
      <w:r>
        <w:rPr>
          <w:rFonts w:hint="eastAsia" w:ascii="宋体" w:hAnsi="宋体"/>
          <w:sz w:val="24"/>
        </w:rPr>
        <w:t xml:space="preserve">    (1)鲜薯验收→清洗去皮（或不去皮）→切分成型→蒸煮→干制→包装(如：甘薯干、甘薯片)。</w:t>
      </w:r>
    </w:p>
    <w:p>
      <w:pPr>
        <w:pStyle w:val="10"/>
        <w:spacing w:after="0" w:line="360" w:lineRule="auto"/>
        <w:rPr>
          <w:rFonts w:hint="eastAsia" w:ascii="宋体" w:hAnsi="宋体"/>
          <w:sz w:val="24"/>
        </w:rPr>
      </w:pPr>
      <w:r>
        <w:rPr>
          <w:rFonts w:hint="eastAsia" w:ascii="宋体" w:hAnsi="宋体"/>
          <w:sz w:val="24"/>
        </w:rPr>
        <w:t xml:space="preserve">    (2)鲜薯验收→清洗去皮（或不去皮）→蒸煮→捣烂→混合→成型→干制→包装(如：小甘薯、甘薯枣)。</w:t>
      </w:r>
    </w:p>
    <w:p>
      <w:pPr>
        <w:pStyle w:val="10"/>
        <w:spacing w:after="0" w:line="360" w:lineRule="auto"/>
        <w:rPr>
          <w:rFonts w:hint="eastAsia" w:ascii="宋体" w:hAnsi="宋体"/>
          <w:sz w:val="24"/>
        </w:rPr>
      </w:pPr>
      <w:r>
        <w:rPr>
          <w:rFonts w:hint="eastAsia" w:ascii="宋体" w:hAnsi="宋体"/>
          <w:sz w:val="24"/>
        </w:rPr>
        <w:t xml:space="preserve">    (3)鲜薯验收→清洗去皮→切分成型→漂烫→冷却→油炸或焙烤 →调味（或不调味）→包装(如：切片型马铃薯片)。</w:t>
      </w:r>
    </w:p>
    <w:p>
      <w:pPr>
        <w:pStyle w:val="10"/>
        <w:spacing w:after="0" w:line="360" w:lineRule="auto"/>
        <w:rPr>
          <w:rFonts w:hint="eastAsia" w:ascii="宋体" w:hAnsi="宋体"/>
          <w:sz w:val="24"/>
        </w:rPr>
      </w:pPr>
      <w:r>
        <w:rPr>
          <w:rFonts w:hint="eastAsia" w:ascii="宋体" w:hAnsi="宋体"/>
          <w:sz w:val="24"/>
        </w:rPr>
        <w:t xml:space="preserve">    (4) 薯类全粉、淀粉等原料验收→拌料→成型→油炸或焙烤→调味（或不调味）→包装(如：复合型马铃薯片)。</w:t>
      </w:r>
    </w:p>
    <w:p>
      <w:pPr>
        <w:pStyle w:val="10"/>
        <w:spacing w:after="0" w:line="360" w:lineRule="auto"/>
        <w:rPr>
          <w:rFonts w:hint="eastAsia" w:ascii="宋体" w:hAnsi="宋体"/>
          <w:sz w:val="24"/>
        </w:rPr>
      </w:pPr>
      <w:r>
        <w:rPr>
          <w:rFonts w:hint="eastAsia" w:ascii="宋体" w:hAnsi="宋体"/>
          <w:sz w:val="24"/>
        </w:rPr>
        <w:t xml:space="preserve">    2．冷冻薯类的基本生产流程</w:t>
      </w:r>
    </w:p>
    <w:p>
      <w:pPr>
        <w:pStyle w:val="10"/>
        <w:spacing w:after="0" w:line="360" w:lineRule="auto"/>
        <w:rPr>
          <w:rFonts w:hint="eastAsia" w:ascii="宋体" w:hAnsi="宋体"/>
          <w:sz w:val="24"/>
        </w:rPr>
      </w:pPr>
      <w:r>
        <w:rPr>
          <w:rFonts w:hint="eastAsia" w:ascii="宋体" w:hAnsi="宋体"/>
          <w:sz w:val="24"/>
        </w:rPr>
        <w:t xml:space="preserve">    原料验收→清洗去皮（或不去皮）→切分成型→漂烫→冷却→冷冻→包装(如：冷冻甘薯条)</w:t>
      </w:r>
    </w:p>
    <w:p>
      <w:pPr>
        <w:pStyle w:val="10"/>
        <w:spacing w:after="0" w:line="360" w:lineRule="auto"/>
        <w:rPr>
          <w:rFonts w:hint="eastAsia" w:ascii="宋体" w:hAnsi="宋体"/>
          <w:sz w:val="24"/>
        </w:rPr>
      </w:pPr>
      <w:r>
        <w:rPr>
          <w:rFonts w:hint="eastAsia" w:ascii="宋体" w:hAnsi="宋体"/>
          <w:sz w:val="24"/>
        </w:rPr>
        <w:t xml:space="preserve">    3．薯泥（酱）类的基本生产流程</w:t>
      </w:r>
    </w:p>
    <w:p>
      <w:pPr>
        <w:pStyle w:val="10"/>
        <w:spacing w:after="0" w:line="360" w:lineRule="auto"/>
        <w:rPr>
          <w:rFonts w:hint="eastAsia" w:ascii="宋体" w:hAnsi="宋体"/>
          <w:sz w:val="24"/>
        </w:rPr>
      </w:pPr>
      <w:r>
        <w:rPr>
          <w:rFonts w:hint="eastAsia" w:ascii="宋体" w:hAnsi="宋体"/>
          <w:sz w:val="24"/>
        </w:rPr>
        <w:t xml:space="preserve">    原料验收→清洗去皮（或不去皮）→蒸煮→磨酱→调配→包装→杀菌(如：甘薯酱、混合型甘薯酱)</w:t>
      </w:r>
    </w:p>
    <w:p>
      <w:pPr>
        <w:pStyle w:val="10"/>
        <w:spacing w:after="0" w:line="360" w:lineRule="auto"/>
        <w:rPr>
          <w:rFonts w:hint="eastAsia" w:ascii="宋体" w:hAnsi="宋体"/>
          <w:sz w:val="24"/>
        </w:rPr>
      </w:pPr>
      <w:r>
        <w:rPr>
          <w:rFonts w:hint="eastAsia" w:ascii="宋体" w:hAnsi="宋体"/>
          <w:sz w:val="24"/>
        </w:rPr>
        <w:t xml:space="preserve">    4．薯粉类的基本生产流程</w:t>
      </w:r>
    </w:p>
    <w:p>
      <w:pPr>
        <w:pStyle w:val="10"/>
        <w:spacing w:after="0" w:line="360" w:lineRule="auto"/>
        <w:rPr>
          <w:rFonts w:hint="eastAsia" w:ascii="宋体" w:hAnsi="宋体"/>
          <w:sz w:val="24"/>
        </w:rPr>
      </w:pPr>
      <w:r>
        <w:rPr>
          <w:rFonts w:hint="eastAsia" w:ascii="宋体" w:hAnsi="宋体"/>
          <w:sz w:val="24"/>
        </w:rPr>
        <w:t xml:space="preserve">    原料验收→清洗去皮（或不去皮）→蒸煮→冷却→干燥→粉碎→包装(如：甘薯粉、马铃薯全粉、魔芋粉)</w:t>
      </w:r>
    </w:p>
    <w:p>
      <w:pPr>
        <w:pStyle w:val="10"/>
        <w:spacing w:after="0" w:line="360" w:lineRule="auto"/>
        <w:rPr>
          <w:rFonts w:hint="eastAsia" w:ascii="宋体" w:hAnsi="宋体"/>
          <w:sz w:val="24"/>
        </w:rPr>
      </w:pPr>
      <w:r>
        <w:rPr>
          <w:rFonts w:hint="eastAsia" w:ascii="宋体" w:hAnsi="宋体"/>
          <w:sz w:val="24"/>
        </w:rPr>
        <w:t xml:space="preserve">    5．其他薯类食品的工艺流程可在确保产品质量安全原则下根据企业生产实际确定。</w:t>
      </w:r>
    </w:p>
    <w:p>
      <w:pPr>
        <w:pStyle w:val="4"/>
        <w:spacing w:before="0" w:after="0" w:line="360" w:lineRule="auto"/>
        <w:rPr>
          <w:rFonts w:hint="eastAsia" w:ascii="宋体" w:hAnsi="宋体"/>
          <w:sz w:val="24"/>
          <w:szCs w:val="24"/>
        </w:rPr>
      </w:pPr>
      <w:bookmarkStart w:id="3" w:name="_Toc33036722"/>
      <w:r>
        <w:rPr>
          <w:rFonts w:hint="eastAsia" w:ascii="宋体" w:hAnsi="宋体"/>
          <w:sz w:val="24"/>
          <w:szCs w:val="24"/>
        </w:rPr>
        <w:t>（二）关键控制环节</w:t>
      </w:r>
      <w:bookmarkEnd w:id="3"/>
    </w:p>
    <w:p>
      <w:pPr>
        <w:pStyle w:val="10"/>
        <w:spacing w:after="0" w:line="360" w:lineRule="auto"/>
        <w:rPr>
          <w:rFonts w:hint="eastAsia" w:ascii="宋体" w:hAnsi="宋体"/>
          <w:sz w:val="24"/>
        </w:rPr>
      </w:pPr>
      <w:r>
        <w:rPr>
          <w:rFonts w:hint="eastAsia" w:ascii="宋体" w:hAnsi="宋体"/>
          <w:sz w:val="24"/>
        </w:rPr>
        <w:t xml:space="preserve">    1．薯类原料验收控制；2．热加工时间和温度控制；3．包装车间环境卫生控制。</w:t>
      </w:r>
    </w:p>
    <w:p>
      <w:pPr>
        <w:pStyle w:val="4"/>
        <w:spacing w:before="0" w:after="0" w:line="360" w:lineRule="auto"/>
        <w:rPr>
          <w:rFonts w:hint="eastAsia" w:ascii="宋体" w:hAnsi="宋体"/>
          <w:sz w:val="24"/>
          <w:szCs w:val="24"/>
        </w:rPr>
      </w:pPr>
      <w:bookmarkStart w:id="4" w:name="_Toc33036723"/>
      <w:r>
        <w:rPr>
          <w:rFonts w:hint="eastAsia" w:ascii="宋体" w:hAnsi="宋体"/>
          <w:sz w:val="24"/>
          <w:szCs w:val="24"/>
        </w:rPr>
        <w:t>（三）容易出现的质量问题</w:t>
      </w:r>
      <w:bookmarkEnd w:id="4"/>
    </w:p>
    <w:p>
      <w:pPr>
        <w:pStyle w:val="10"/>
        <w:spacing w:after="0" w:line="360" w:lineRule="auto"/>
        <w:rPr>
          <w:rFonts w:hint="eastAsia" w:ascii="宋体" w:hAnsi="宋体"/>
          <w:sz w:val="24"/>
        </w:rPr>
      </w:pPr>
      <w:r>
        <w:rPr>
          <w:rFonts w:hint="eastAsia" w:ascii="宋体" w:hAnsi="宋体"/>
          <w:sz w:val="24"/>
        </w:rPr>
        <w:t>　　1．微生物指标超标；２．超限超量使用食品添加剂；３．油炸产品酸价、过氧化值超标。</w:t>
      </w:r>
    </w:p>
    <w:p>
      <w:pPr>
        <w:pStyle w:val="3"/>
        <w:spacing w:before="0" w:after="0" w:line="360" w:lineRule="auto"/>
        <w:rPr>
          <w:rFonts w:hint="eastAsia" w:ascii="宋体" w:hAnsi="宋体" w:eastAsia="宋体"/>
          <w:sz w:val="24"/>
          <w:szCs w:val="24"/>
        </w:rPr>
      </w:pPr>
      <w:bookmarkStart w:id="5" w:name="_Toc33036724"/>
      <w:r>
        <w:rPr>
          <w:rFonts w:hint="eastAsia" w:ascii="宋体" w:hAnsi="宋体" w:eastAsia="宋体"/>
          <w:sz w:val="24"/>
          <w:szCs w:val="24"/>
        </w:rPr>
        <w:t>三</w:t>
      </w:r>
      <w:r>
        <w:rPr>
          <w:rFonts w:ascii="宋体" w:hAnsi="宋体" w:eastAsia="宋体"/>
          <w:sz w:val="24"/>
          <w:szCs w:val="24"/>
        </w:rPr>
        <w:t>、</w:t>
      </w:r>
      <w:r>
        <w:rPr>
          <w:rFonts w:hint="eastAsia" w:ascii="宋体" w:hAnsi="宋体" w:eastAsia="宋体"/>
          <w:sz w:val="24"/>
          <w:szCs w:val="24"/>
        </w:rPr>
        <w:t>必备的生产资源</w:t>
      </w:r>
      <w:bookmarkEnd w:id="5"/>
    </w:p>
    <w:p>
      <w:pPr>
        <w:pStyle w:val="4"/>
        <w:spacing w:before="0" w:after="0" w:line="360" w:lineRule="auto"/>
        <w:rPr>
          <w:rFonts w:hint="eastAsia" w:ascii="宋体" w:hAnsi="宋体"/>
          <w:sz w:val="24"/>
          <w:szCs w:val="24"/>
        </w:rPr>
      </w:pPr>
      <w:bookmarkStart w:id="6" w:name="_Toc33036725"/>
      <w:r>
        <w:rPr>
          <w:rFonts w:hint="eastAsia" w:ascii="宋体" w:hAnsi="宋体"/>
          <w:sz w:val="24"/>
          <w:szCs w:val="24"/>
        </w:rPr>
        <w:t>（一）生产场所</w:t>
      </w:r>
      <w:bookmarkEnd w:id="6"/>
    </w:p>
    <w:p>
      <w:pPr>
        <w:pStyle w:val="10"/>
        <w:spacing w:after="0" w:line="360" w:lineRule="auto"/>
        <w:ind w:firstLine="480" w:firstLineChars="200"/>
        <w:rPr>
          <w:rFonts w:hint="eastAsia" w:ascii="宋体" w:hAnsi="宋体"/>
          <w:sz w:val="24"/>
        </w:rPr>
      </w:pPr>
      <w:r>
        <w:rPr>
          <w:rFonts w:hint="eastAsia" w:ascii="宋体" w:hAnsi="宋体"/>
          <w:sz w:val="24"/>
        </w:rPr>
        <w:t>应具备原辅材料仓库及包装材料仓库、成品仓库、清洗整理车间、热加工车间、包装车间等满足工艺要求的生产场所。</w:t>
      </w:r>
    </w:p>
    <w:p>
      <w:pPr>
        <w:pStyle w:val="4"/>
        <w:spacing w:before="0" w:after="0" w:line="360" w:lineRule="auto"/>
        <w:rPr>
          <w:rFonts w:hint="eastAsia" w:ascii="宋体" w:hAnsi="宋体"/>
          <w:sz w:val="24"/>
          <w:szCs w:val="24"/>
        </w:rPr>
      </w:pPr>
      <w:bookmarkStart w:id="7" w:name="_Toc33036726"/>
      <w:r>
        <w:rPr>
          <w:rFonts w:hint="eastAsia" w:ascii="宋体" w:hAnsi="宋体"/>
          <w:sz w:val="24"/>
          <w:szCs w:val="24"/>
        </w:rPr>
        <w:t>（二）必备的生产设备</w:t>
      </w:r>
      <w:bookmarkEnd w:id="7"/>
    </w:p>
    <w:p>
      <w:pPr>
        <w:pStyle w:val="10"/>
        <w:spacing w:after="0" w:line="360" w:lineRule="auto"/>
        <w:ind w:firstLine="480" w:firstLineChars="200"/>
        <w:rPr>
          <w:rFonts w:hint="eastAsia" w:ascii="宋体" w:hAnsi="宋体"/>
          <w:sz w:val="24"/>
        </w:rPr>
      </w:pPr>
      <w:r>
        <w:rPr>
          <w:rFonts w:hint="eastAsia" w:ascii="宋体" w:hAnsi="宋体"/>
          <w:sz w:val="24"/>
        </w:rPr>
        <w:t>1．干制薯类必备的生产设备</w:t>
      </w:r>
    </w:p>
    <w:p>
      <w:pPr>
        <w:pStyle w:val="10"/>
        <w:spacing w:after="0" w:line="360" w:lineRule="auto"/>
        <w:ind w:firstLine="480" w:firstLineChars="200"/>
        <w:rPr>
          <w:rFonts w:hint="eastAsia" w:ascii="宋体" w:hAnsi="宋体"/>
          <w:sz w:val="24"/>
        </w:rPr>
      </w:pPr>
      <w:r>
        <w:rPr>
          <w:rFonts w:hint="eastAsia" w:ascii="宋体" w:hAnsi="宋体"/>
          <w:sz w:val="24"/>
        </w:rPr>
        <w:t>① 以鲜薯为原料的工艺：清洗设施、整理切分设施、热加工设施、包装设施</w:t>
      </w:r>
    </w:p>
    <w:p>
      <w:pPr>
        <w:pStyle w:val="10"/>
        <w:spacing w:after="0" w:line="360" w:lineRule="auto"/>
        <w:ind w:firstLine="480" w:firstLineChars="200"/>
        <w:rPr>
          <w:rFonts w:hint="eastAsia" w:ascii="宋体" w:hAnsi="宋体"/>
          <w:sz w:val="24"/>
        </w:rPr>
      </w:pPr>
      <w:r>
        <w:rPr>
          <w:rFonts w:hint="eastAsia" w:ascii="宋体" w:hAnsi="宋体"/>
          <w:sz w:val="24"/>
        </w:rPr>
        <w:t>② 以薯粉为原料的工艺：成形设备、热加工设施、包装设施。</w:t>
      </w:r>
    </w:p>
    <w:p>
      <w:pPr>
        <w:pStyle w:val="10"/>
        <w:spacing w:after="0" w:line="360" w:lineRule="auto"/>
        <w:ind w:firstLine="480" w:firstLineChars="200"/>
        <w:rPr>
          <w:rFonts w:hint="eastAsia" w:ascii="宋体" w:hAnsi="宋体"/>
          <w:sz w:val="24"/>
        </w:rPr>
      </w:pPr>
      <w:r>
        <w:rPr>
          <w:rFonts w:hint="eastAsia" w:ascii="宋体" w:hAnsi="宋体"/>
          <w:sz w:val="24"/>
        </w:rPr>
        <w:t>2．冷冻薯类必备的生产设备: 清洗设施、整理切分设施、冷冻设备、包装设施。</w:t>
      </w:r>
    </w:p>
    <w:p>
      <w:pPr>
        <w:pStyle w:val="10"/>
        <w:spacing w:after="0" w:line="360" w:lineRule="auto"/>
        <w:ind w:firstLine="480" w:firstLineChars="200"/>
        <w:rPr>
          <w:rFonts w:hint="eastAsia" w:ascii="宋体" w:hAnsi="宋体"/>
          <w:sz w:val="24"/>
        </w:rPr>
      </w:pPr>
      <w:r>
        <w:rPr>
          <w:rFonts w:hint="eastAsia" w:ascii="宋体" w:hAnsi="宋体"/>
          <w:sz w:val="24"/>
        </w:rPr>
        <w:t>3．薯泥（酱）类必备的生产设备：清洗设施、整理切分设施、磨碎设施、热加工设备、包装设施、杀菌设备。</w:t>
      </w:r>
    </w:p>
    <w:p>
      <w:pPr>
        <w:pStyle w:val="10"/>
        <w:spacing w:after="0" w:line="360" w:lineRule="auto"/>
        <w:ind w:firstLine="480" w:firstLineChars="200"/>
        <w:rPr>
          <w:rFonts w:hint="eastAsia" w:ascii="宋体" w:hAnsi="宋体"/>
          <w:sz w:val="24"/>
        </w:rPr>
      </w:pPr>
      <w:r>
        <w:rPr>
          <w:rFonts w:hint="eastAsia" w:ascii="宋体" w:hAnsi="宋体"/>
          <w:sz w:val="24"/>
        </w:rPr>
        <w:t>4. 薯粉类食品必备的生产设备：清洗设施、干燥设施、磨碎设施、包装设施。</w:t>
      </w:r>
    </w:p>
    <w:p>
      <w:pPr>
        <w:pStyle w:val="10"/>
        <w:spacing w:after="0" w:line="360" w:lineRule="auto"/>
        <w:rPr>
          <w:rFonts w:hint="eastAsia" w:ascii="宋体" w:hAnsi="宋体"/>
          <w:sz w:val="24"/>
        </w:rPr>
      </w:pPr>
      <w:r>
        <w:rPr>
          <w:rFonts w:hint="eastAsia" w:ascii="宋体" w:hAnsi="宋体"/>
          <w:sz w:val="24"/>
        </w:rPr>
        <w:t xml:space="preserve">    5．其他薯类必备的生产设备以满足确保食品质量安全的生产工艺流程所需设备为前提。</w:t>
      </w:r>
    </w:p>
    <w:p>
      <w:pPr>
        <w:pStyle w:val="3"/>
        <w:spacing w:before="0" w:after="0" w:line="360" w:lineRule="auto"/>
        <w:rPr>
          <w:rFonts w:hint="eastAsia" w:ascii="宋体" w:hAnsi="宋体" w:eastAsia="宋体"/>
          <w:sz w:val="24"/>
          <w:szCs w:val="24"/>
        </w:rPr>
      </w:pPr>
      <w:bookmarkStart w:id="8" w:name="_Toc33036727"/>
      <w:r>
        <w:rPr>
          <w:rFonts w:hint="eastAsia" w:ascii="宋体" w:hAnsi="宋体" w:eastAsia="宋体"/>
          <w:sz w:val="24"/>
          <w:szCs w:val="24"/>
        </w:rPr>
        <w:t>四、产品相关标准</w:t>
      </w:r>
      <w:bookmarkEnd w:id="8"/>
    </w:p>
    <w:p>
      <w:pPr>
        <w:pStyle w:val="10"/>
        <w:spacing w:after="0" w:line="360" w:lineRule="auto"/>
        <w:ind w:firstLine="480" w:firstLineChars="200"/>
        <w:rPr>
          <w:rFonts w:hint="eastAsia" w:ascii="宋体" w:hAnsi="宋体"/>
          <w:sz w:val="24"/>
        </w:rPr>
      </w:pPr>
      <w:r>
        <w:rPr>
          <w:rFonts w:hint="eastAsia" w:ascii="宋体" w:hAnsi="宋体"/>
          <w:sz w:val="24"/>
        </w:rPr>
        <w:t>QB/T2686-2005《马铃薯片》、GB/T18104-2000《魔芋精粉》、NY/T 494-2002《魔芋粉》、GB 2762-2005《食品中污染物限量》、备案有效的企业标准。</w:t>
      </w:r>
    </w:p>
    <w:p>
      <w:pPr>
        <w:pStyle w:val="3"/>
        <w:spacing w:before="0" w:after="0" w:line="360" w:lineRule="auto"/>
        <w:rPr>
          <w:rFonts w:hint="eastAsia" w:ascii="宋体" w:hAnsi="宋体" w:eastAsia="宋体"/>
          <w:sz w:val="24"/>
          <w:szCs w:val="24"/>
        </w:rPr>
      </w:pPr>
      <w:bookmarkStart w:id="9" w:name="_Toc33036728"/>
      <w:r>
        <w:rPr>
          <w:rFonts w:hint="eastAsia" w:ascii="宋体" w:hAnsi="宋体" w:eastAsia="宋体"/>
          <w:sz w:val="24"/>
          <w:szCs w:val="24"/>
        </w:rPr>
        <w:t>五、原辅材料的有关要求</w:t>
      </w:r>
      <w:bookmarkEnd w:id="9"/>
    </w:p>
    <w:p>
      <w:pPr>
        <w:pStyle w:val="10"/>
        <w:spacing w:after="0" w:line="360" w:lineRule="auto"/>
        <w:ind w:firstLine="480" w:firstLineChars="200"/>
        <w:rPr>
          <w:rFonts w:hint="eastAsia" w:ascii="宋体" w:hAnsi="宋体"/>
          <w:sz w:val="24"/>
        </w:rPr>
      </w:pPr>
      <w:r>
        <w:rPr>
          <w:rFonts w:hint="eastAsia" w:ascii="宋体" w:hAnsi="宋体"/>
          <w:sz w:val="24"/>
        </w:rPr>
        <w:t>企业生产薯类食品所用的原辅材料必须符合国家标准、行业标准及有关规定规定。如原辅料为实施生产许可证管理的产品，必须选用获得生产许可证企业生产的合格产品。</w:t>
      </w:r>
    </w:p>
    <w:p>
      <w:pPr>
        <w:pStyle w:val="3"/>
        <w:spacing w:before="0" w:after="0" w:line="360" w:lineRule="auto"/>
        <w:rPr>
          <w:rFonts w:hint="eastAsia" w:ascii="宋体" w:hAnsi="宋体" w:eastAsia="宋体"/>
          <w:sz w:val="24"/>
          <w:szCs w:val="24"/>
        </w:rPr>
      </w:pPr>
      <w:bookmarkStart w:id="10" w:name="_Toc33036729"/>
      <w:r>
        <w:rPr>
          <w:rFonts w:hint="eastAsia" w:ascii="宋体" w:hAnsi="宋体" w:eastAsia="宋体"/>
          <w:sz w:val="24"/>
          <w:szCs w:val="24"/>
        </w:rPr>
        <w:t>六、必备的出厂检验设备</w:t>
      </w:r>
      <w:bookmarkEnd w:id="10"/>
    </w:p>
    <w:p>
      <w:pPr>
        <w:pStyle w:val="10"/>
        <w:spacing w:after="0" w:line="360" w:lineRule="auto"/>
        <w:ind w:firstLine="480" w:firstLineChars="200"/>
        <w:rPr>
          <w:rFonts w:hint="eastAsia" w:ascii="宋体" w:hAnsi="宋体"/>
          <w:sz w:val="24"/>
        </w:rPr>
      </w:pPr>
      <w:r>
        <w:rPr>
          <w:rFonts w:hint="eastAsia" w:ascii="宋体" w:hAnsi="宋体"/>
          <w:sz w:val="24"/>
        </w:rPr>
        <w:t>（一）天平（0.1g）；（二）分析天平（0.1mg）；（三）干燥箱；（四）灭菌锅；（五）微生物培养箱；（六）生物显微镜；（七）无菌室或超净工作台。</w:t>
      </w:r>
    </w:p>
    <w:p>
      <w:pPr>
        <w:pStyle w:val="10"/>
        <w:spacing w:after="0" w:line="360" w:lineRule="auto"/>
        <w:ind w:firstLine="480" w:firstLineChars="200"/>
        <w:rPr>
          <w:rFonts w:hint="eastAsia" w:ascii="宋体" w:hAnsi="宋体"/>
          <w:sz w:val="24"/>
        </w:rPr>
      </w:pPr>
      <w:r>
        <w:rPr>
          <w:rFonts w:hint="eastAsia" w:ascii="宋体" w:hAnsi="宋体"/>
          <w:sz w:val="24"/>
        </w:rPr>
        <w:t>企业出厂检验项目无微生物指标的，5-7设备可以不做要求。</w:t>
      </w:r>
    </w:p>
    <w:p>
      <w:pPr>
        <w:pStyle w:val="3"/>
        <w:spacing w:before="0" w:after="0" w:line="360" w:lineRule="auto"/>
        <w:rPr>
          <w:rFonts w:hint="eastAsia" w:ascii="宋体" w:hAnsi="宋体" w:eastAsia="宋体"/>
          <w:sz w:val="24"/>
          <w:szCs w:val="24"/>
        </w:rPr>
      </w:pPr>
      <w:bookmarkStart w:id="11" w:name="_Toc33036730"/>
      <w:r>
        <w:rPr>
          <w:rFonts w:hint="eastAsia" w:ascii="宋体" w:hAnsi="宋体" w:eastAsia="宋体"/>
          <w:sz w:val="24"/>
          <w:szCs w:val="24"/>
        </w:rPr>
        <w:t>七、检验项目</w:t>
      </w:r>
      <w:bookmarkEnd w:id="11"/>
    </w:p>
    <w:p>
      <w:pPr>
        <w:pStyle w:val="10"/>
        <w:spacing w:after="0" w:line="360" w:lineRule="auto"/>
        <w:ind w:firstLine="480" w:firstLineChars="200"/>
        <w:rPr>
          <w:rFonts w:hint="eastAsia" w:ascii="宋体" w:hAnsi="宋体"/>
          <w:sz w:val="24"/>
        </w:rPr>
      </w:pPr>
      <w:r>
        <w:rPr>
          <w:rFonts w:hint="eastAsia" w:ascii="宋体" w:hAnsi="宋体"/>
          <w:sz w:val="24"/>
        </w:rPr>
        <w:t>薯类食品的发证检验、监督检验、出厂检验按照表格所列的相应检验项目进行。出厂检验项目中注有“*”标记的，企业每年应当进行2次检验。</w:t>
      </w:r>
    </w:p>
    <w:p>
      <w:pPr>
        <w:pStyle w:val="10"/>
        <w:spacing w:after="0" w:line="360" w:lineRule="auto"/>
        <w:jc w:val="center"/>
        <w:rPr>
          <w:rFonts w:hint="eastAsia" w:ascii="宋体" w:hAnsi="宋体"/>
          <w:b/>
          <w:sz w:val="24"/>
        </w:rPr>
      </w:pPr>
      <w:r>
        <w:rPr>
          <w:rFonts w:hint="eastAsia" w:ascii="宋体" w:hAnsi="宋体"/>
          <w:b/>
          <w:sz w:val="24"/>
        </w:rPr>
        <w:t>油炸、烘烤薯类质量检验项目表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40"/>
        <w:gridCol w:w="900"/>
        <w:gridCol w:w="720"/>
        <w:gridCol w:w="7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360" w:lineRule="auto"/>
              <w:jc w:val="center"/>
              <w:rPr>
                <w:rFonts w:hint="eastAsia" w:ascii="宋体" w:hAnsi="宋体"/>
                <w:sz w:val="24"/>
              </w:rPr>
            </w:pPr>
            <w:r>
              <w:rPr>
                <w:rFonts w:hint="eastAsia" w:ascii="宋体" w:hAnsi="宋体"/>
                <w:sz w:val="24"/>
              </w:rPr>
              <w:t>序号</w:t>
            </w:r>
          </w:p>
        </w:tc>
        <w:tc>
          <w:tcPr>
            <w:tcW w:w="2340" w:type="dxa"/>
          </w:tcPr>
          <w:p>
            <w:pPr>
              <w:spacing w:line="360" w:lineRule="auto"/>
              <w:jc w:val="center"/>
              <w:rPr>
                <w:rFonts w:hint="eastAsia" w:ascii="宋体" w:hAnsi="宋体"/>
                <w:sz w:val="24"/>
              </w:rPr>
            </w:pPr>
            <w:r>
              <w:rPr>
                <w:rFonts w:hint="eastAsia" w:ascii="宋体" w:hAnsi="宋体"/>
                <w:sz w:val="24"/>
              </w:rPr>
              <w:t>检验项目</w:t>
            </w:r>
          </w:p>
        </w:tc>
        <w:tc>
          <w:tcPr>
            <w:tcW w:w="900" w:type="dxa"/>
          </w:tcPr>
          <w:p>
            <w:pPr>
              <w:spacing w:line="360" w:lineRule="auto"/>
              <w:jc w:val="center"/>
              <w:rPr>
                <w:rFonts w:hint="eastAsia" w:ascii="宋体" w:hAnsi="宋体"/>
                <w:sz w:val="24"/>
              </w:rPr>
            </w:pPr>
            <w:r>
              <w:rPr>
                <w:rFonts w:hint="eastAsia" w:ascii="宋体" w:hAnsi="宋体"/>
                <w:sz w:val="24"/>
              </w:rPr>
              <w:t>发证</w:t>
            </w:r>
          </w:p>
        </w:tc>
        <w:tc>
          <w:tcPr>
            <w:tcW w:w="720" w:type="dxa"/>
          </w:tcPr>
          <w:p>
            <w:pPr>
              <w:spacing w:line="360" w:lineRule="auto"/>
              <w:jc w:val="center"/>
              <w:rPr>
                <w:rFonts w:hint="eastAsia" w:ascii="宋体" w:hAnsi="宋体"/>
                <w:sz w:val="24"/>
              </w:rPr>
            </w:pPr>
            <w:r>
              <w:rPr>
                <w:rFonts w:hint="eastAsia" w:ascii="宋体" w:hAnsi="宋体"/>
                <w:sz w:val="24"/>
              </w:rPr>
              <w:t>监督</w:t>
            </w:r>
          </w:p>
        </w:tc>
        <w:tc>
          <w:tcPr>
            <w:tcW w:w="720" w:type="dxa"/>
          </w:tcPr>
          <w:p>
            <w:pPr>
              <w:spacing w:line="360" w:lineRule="auto"/>
              <w:jc w:val="center"/>
              <w:rPr>
                <w:rFonts w:hint="eastAsia" w:ascii="宋体" w:hAnsi="宋体"/>
                <w:sz w:val="24"/>
              </w:rPr>
            </w:pPr>
            <w:r>
              <w:rPr>
                <w:rFonts w:hint="eastAsia" w:ascii="宋体" w:hAnsi="宋体"/>
                <w:sz w:val="24"/>
              </w:rPr>
              <w:t>出厂</w:t>
            </w:r>
          </w:p>
        </w:tc>
        <w:tc>
          <w:tcPr>
            <w:tcW w:w="2880" w:type="dxa"/>
          </w:tcPr>
          <w:p>
            <w:pPr>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感官</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2</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净含量</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3</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绿马铃薯片</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880" w:type="dxa"/>
            <w:vMerge w:val="restart"/>
          </w:tcPr>
          <w:p>
            <w:pPr>
              <w:snapToGrid w:val="0"/>
              <w:spacing w:line="360" w:lineRule="auto"/>
              <w:rPr>
                <w:rFonts w:hint="eastAsia" w:ascii="宋体" w:hAnsi="宋体"/>
                <w:sz w:val="24"/>
              </w:rPr>
            </w:pPr>
            <w:r>
              <w:rPr>
                <w:rFonts w:hint="eastAsia" w:ascii="宋体" w:hAnsi="宋体"/>
                <w:sz w:val="24"/>
              </w:rPr>
              <w:t>马铃薯片产品检测此项目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4</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杂色片</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vMerge w:val="continue"/>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5</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脂肪</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按执行标准考核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6</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水分</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按执行标准考核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7</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氯化钠</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按执行标准考核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8</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酸价</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油炸工艺要求检测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9</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过氧化值</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油炸工艺要求检测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10</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羰基价</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油炸工艺要求检测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11</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总砷</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12</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铅</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13</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抗氧化剂(BHA、BHT)</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油炸食品要求检测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14</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铝</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r>
              <w:rPr>
                <w:rFonts w:hint="eastAsia" w:ascii="宋体" w:hAnsi="宋体"/>
                <w:sz w:val="24"/>
              </w:rPr>
              <w:t>油炸食品要求检测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15</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菌落总数</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16</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大肠菌群</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17</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致病菌</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r>
              <w:rPr>
                <w:rFonts w:hint="eastAsia" w:ascii="宋体" w:hAnsi="宋体"/>
                <w:sz w:val="24"/>
              </w:rPr>
              <w:t>*</w:t>
            </w:r>
          </w:p>
        </w:tc>
        <w:tc>
          <w:tcPr>
            <w:tcW w:w="2880" w:type="dxa"/>
          </w:tcPr>
          <w:p>
            <w:pPr>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18</w:t>
            </w:r>
          </w:p>
        </w:tc>
        <w:tc>
          <w:tcPr>
            <w:tcW w:w="2340" w:type="dxa"/>
            <w:vAlign w:val="center"/>
          </w:tcPr>
          <w:p>
            <w:pPr>
              <w:snapToGrid w:val="0"/>
              <w:spacing w:line="360" w:lineRule="auto"/>
              <w:jc w:val="center"/>
              <w:rPr>
                <w:rFonts w:hint="eastAsia" w:ascii="宋体" w:hAnsi="宋体"/>
                <w:sz w:val="24"/>
              </w:rPr>
            </w:pPr>
            <w:r>
              <w:rPr>
                <w:rFonts w:hint="eastAsia" w:ascii="宋体" w:hAnsi="宋体"/>
                <w:sz w:val="24"/>
              </w:rPr>
              <w:t>标签</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720" w:type="dxa"/>
          </w:tcPr>
          <w:p>
            <w:pPr>
              <w:snapToGrid w:val="0"/>
              <w:spacing w:line="360" w:lineRule="auto"/>
              <w:jc w:val="center"/>
              <w:rPr>
                <w:rFonts w:hint="eastAsia" w:ascii="宋体" w:hAnsi="宋体"/>
                <w:sz w:val="24"/>
              </w:rPr>
            </w:pPr>
          </w:p>
        </w:tc>
        <w:tc>
          <w:tcPr>
            <w:tcW w:w="2880" w:type="dxa"/>
          </w:tcPr>
          <w:p>
            <w:pPr>
              <w:snapToGrid w:val="0"/>
              <w:spacing w:line="360" w:lineRule="auto"/>
              <w:rPr>
                <w:rFonts w:hint="eastAsia" w:ascii="宋体" w:hAnsi="宋体"/>
                <w:sz w:val="24"/>
              </w:rPr>
            </w:pPr>
          </w:p>
        </w:tc>
      </w:tr>
    </w:tbl>
    <w:p>
      <w:pPr>
        <w:pStyle w:val="10"/>
        <w:spacing w:after="0" w:line="360" w:lineRule="auto"/>
        <w:ind w:firstLine="480" w:firstLineChars="200"/>
        <w:rPr>
          <w:rFonts w:hint="eastAsia" w:ascii="宋体" w:hAnsi="宋体"/>
          <w:sz w:val="24"/>
        </w:rPr>
      </w:pPr>
      <w:r>
        <w:rPr>
          <w:rFonts w:hint="eastAsia" w:ascii="宋体" w:hAnsi="宋体"/>
          <w:sz w:val="24"/>
        </w:rPr>
        <w:t>注:依据QB/T2686-2005等。</w:t>
      </w:r>
    </w:p>
    <w:p>
      <w:pPr>
        <w:pStyle w:val="10"/>
        <w:spacing w:after="0" w:line="360" w:lineRule="auto"/>
        <w:jc w:val="center"/>
        <w:rPr>
          <w:rFonts w:hint="eastAsia" w:ascii="宋体" w:hAnsi="宋体"/>
          <w:b/>
          <w:sz w:val="24"/>
        </w:rPr>
      </w:pPr>
      <w:r>
        <w:rPr>
          <w:rFonts w:hint="eastAsia" w:ascii="宋体" w:hAnsi="宋体"/>
          <w:b/>
          <w:sz w:val="24"/>
        </w:rPr>
        <w:t>魔芋粉质量检验项目表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900"/>
        <w:gridCol w:w="1080"/>
        <w:gridCol w:w="9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napToGrid w:val="0"/>
              <w:spacing w:line="360" w:lineRule="auto"/>
              <w:jc w:val="center"/>
              <w:rPr>
                <w:rFonts w:hint="eastAsia" w:ascii="宋体" w:hAnsi="宋体"/>
                <w:sz w:val="24"/>
              </w:rPr>
            </w:pPr>
            <w:r>
              <w:rPr>
                <w:rFonts w:hint="eastAsia" w:ascii="宋体" w:hAnsi="宋体"/>
                <w:sz w:val="24"/>
              </w:rPr>
              <w:t>序号</w:t>
            </w:r>
          </w:p>
        </w:tc>
        <w:tc>
          <w:tcPr>
            <w:tcW w:w="1980" w:type="dxa"/>
          </w:tcPr>
          <w:p>
            <w:pPr>
              <w:snapToGrid w:val="0"/>
              <w:spacing w:line="360" w:lineRule="auto"/>
              <w:jc w:val="center"/>
              <w:rPr>
                <w:rFonts w:hint="eastAsia" w:ascii="宋体" w:hAnsi="宋体"/>
                <w:sz w:val="24"/>
              </w:rPr>
            </w:pPr>
            <w:r>
              <w:rPr>
                <w:rFonts w:hint="eastAsia" w:ascii="宋体" w:hAnsi="宋体"/>
                <w:sz w:val="24"/>
              </w:rPr>
              <w:t>检验项目</w:t>
            </w:r>
          </w:p>
        </w:tc>
        <w:tc>
          <w:tcPr>
            <w:tcW w:w="900" w:type="dxa"/>
          </w:tcPr>
          <w:p>
            <w:pPr>
              <w:snapToGrid w:val="0"/>
              <w:spacing w:line="360" w:lineRule="auto"/>
              <w:jc w:val="center"/>
              <w:rPr>
                <w:rFonts w:hint="eastAsia" w:ascii="宋体" w:hAnsi="宋体"/>
                <w:sz w:val="24"/>
              </w:rPr>
            </w:pPr>
            <w:r>
              <w:rPr>
                <w:rFonts w:hint="eastAsia" w:ascii="宋体" w:hAnsi="宋体"/>
                <w:sz w:val="24"/>
              </w:rPr>
              <w:t>发证</w:t>
            </w:r>
          </w:p>
        </w:tc>
        <w:tc>
          <w:tcPr>
            <w:tcW w:w="1080" w:type="dxa"/>
          </w:tcPr>
          <w:p>
            <w:pPr>
              <w:snapToGrid w:val="0"/>
              <w:spacing w:line="360" w:lineRule="auto"/>
              <w:jc w:val="center"/>
              <w:rPr>
                <w:rFonts w:hint="eastAsia" w:ascii="宋体" w:hAnsi="宋体"/>
                <w:sz w:val="24"/>
              </w:rPr>
            </w:pPr>
            <w:r>
              <w:rPr>
                <w:rFonts w:hint="eastAsia" w:ascii="宋体" w:hAnsi="宋体"/>
                <w:sz w:val="24"/>
              </w:rPr>
              <w:t>监督</w:t>
            </w:r>
          </w:p>
        </w:tc>
        <w:tc>
          <w:tcPr>
            <w:tcW w:w="900" w:type="dxa"/>
          </w:tcPr>
          <w:p>
            <w:pPr>
              <w:snapToGrid w:val="0"/>
              <w:spacing w:line="360" w:lineRule="auto"/>
              <w:jc w:val="center"/>
              <w:rPr>
                <w:rFonts w:hint="eastAsia" w:ascii="宋体" w:hAnsi="宋体"/>
                <w:sz w:val="24"/>
              </w:rPr>
            </w:pPr>
            <w:r>
              <w:rPr>
                <w:rFonts w:hint="eastAsia" w:ascii="宋体" w:hAnsi="宋体"/>
                <w:sz w:val="24"/>
              </w:rPr>
              <w:t>出厂</w:t>
            </w:r>
          </w:p>
        </w:tc>
        <w:tc>
          <w:tcPr>
            <w:tcW w:w="2340" w:type="dxa"/>
          </w:tcPr>
          <w:p>
            <w:pPr>
              <w:snapToGrid w:val="0"/>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w:t>
            </w:r>
          </w:p>
        </w:tc>
        <w:tc>
          <w:tcPr>
            <w:tcW w:w="1980" w:type="dxa"/>
            <w:vAlign w:val="center"/>
          </w:tcPr>
          <w:p>
            <w:pPr>
              <w:snapToGrid w:val="0"/>
              <w:spacing w:line="360" w:lineRule="auto"/>
              <w:rPr>
                <w:rFonts w:hint="eastAsia" w:ascii="宋体" w:hAnsi="宋体"/>
                <w:sz w:val="24"/>
              </w:rPr>
            </w:pPr>
            <w:r>
              <w:rPr>
                <w:rFonts w:hint="eastAsia" w:ascii="宋体" w:hAnsi="宋体"/>
                <w:sz w:val="24"/>
              </w:rPr>
              <w:t>外观（或感官）</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2</w:t>
            </w:r>
          </w:p>
        </w:tc>
        <w:tc>
          <w:tcPr>
            <w:tcW w:w="1980" w:type="dxa"/>
            <w:vAlign w:val="center"/>
          </w:tcPr>
          <w:p>
            <w:pPr>
              <w:snapToGrid w:val="0"/>
              <w:spacing w:line="360" w:lineRule="auto"/>
              <w:rPr>
                <w:rFonts w:hint="eastAsia" w:ascii="宋体" w:hAnsi="宋体"/>
                <w:sz w:val="24"/>
              </w:rPr>
            </w:pPr>
            <w:r>
              <w:rPr>
                <w:rFonts w:hint="eastAsia" w:ascii="宋体" w:hAnsi="宋体"/>
                <w:sz w:val="24"/>
              </w:rPr>
              <w:t>颗粒度</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3</w:t>
            </w:r>
          </w:p>
        </w:tc>
        <w:tc>
          <w:tcPr>
            <w:tcW w:w="1980" w:type="dxa"/>
            <w:vAlign w:val="center"/>
          </w:tcPr>
          <w:p>
            <w:pPr>
              <w:snapToGrid w:val="0"/>
              <w:spacing w:line="360" w:lineRule="auto"/>
              <w:rPr>
                <w:rFonts w:hint="eastAsia" w:ascii="宋体" w:hAnsi="宋体"/>
                <w:sz w:val="24"/>
              </w:rPr>
            </w:pPr>
            <w:r>
              <w:rPr>
                <w:rFonts w:hint="eastAsia" w:ascii="宋体" w:hAnsi="宋体"/>
                <w:sz w:val="24"/>
              </w:rPr>
              <w:t>气味</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4</w:t>
            </w:r>
          </w:p>
        </w:tc>
        <w:tc>
          <w:tcPr>
            <w:tcW w:w="1980" w:type="dxa"/>
            <w:vAlign w:val="center"/>
          </w:tcPr>
          <w:p>
            <w:pPr>
              <w:snapToGrid w:val="0"/>
              <w:spacing w:line="360" w:lineRule="auto"/>
              <w:rPr>
                <w:rFonts w:hint="eastAsia" w:ascii="宋体" w:hAnsi="宋体"/>
                <w:sz w:val="24"/>
              </w:rPr>
            </w:pPr>
            <w:r>
              <w:rPr>
                <w:rFonts w:hint="eastAsia" w:ascii="宋体" w:hAnsi="宋体"/>
                <w:sz w:val="24"/>
              </w:rPr>
              <w:t>净含量</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5</w:t>
            </w:r>
          </w:p>
        </w:tc>
        <w:tc>
          <w:tcPr>
            <w:tcW w:w="1980" w:type="dxa"/>
            <w:vAlign w:val="center"/>
          </w:tcPr>
          <w:p>
            <w:pPr>
              <w:snapToGrid w:val="0"/>
              <w:spacing w:line="360" w:lineRule="auto"/>
              <w:rPr>
                <w:rFonts w:hint="eastAsia" w:ascii="宋体" w:hAnsi="宋体"/>
                <w:sz w:val="24"/>
              </w:rPr>
            </w:pPr>
            <w:r>
              <w:rPr>
                <w:rFonts w:hint="eastAsia" w:ascii="宋体" w:hAnsi="宋体"/>
                <w:sz w:val="24"/>
              </w:rPr>
              <w:t>葡甘露聚糖含量</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6</w:t>
            </w:r>
          </w:p>
        </w:tc>
        <w:tc>
          <w:tcPr>
            <w:tcW w:w="1980" w:type="dxa"/>
            <w:vAlign w:val="center"/>
          </w:tcPr>
          <w:p>
            <w:pPr>
              <w:snapToGrid w:val="0"/>
              <w:spacing w:line="360" w:lineRule="auto"/>
              <w:rPr>
                <w:rFonts w:hint="eastAsia" w:ascii="宋体" w:hAnsi="宋体"/>
                <w:sz w:val="24"/>
              </w:rPr>
            </w:pPr>
            <w:r>
              <w:rPr>
                <w:rFonts w:hint="eastAsia" w:ascii="宋体" w:hAnsi="宋体"/>
                <w:sz w:val="24"/>
              </w:rPr>
              <w:t>粘度</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7</w:t>
            </w:r>
          </w:p>
        </w:tc>
        <w:tc>
          <w:tcPr>
            <w:tcW w:w="1980" w:type="dxa"/>
            <w:vAlign w:val="center"/>
          </w:tcPr>
          <w:p>
            <w:pPr>
              <w:snapToGrid w:val="0"/>
              <w:spacing w:line="360" w:lineRule="auto"/>
              <w:rPr>
                <w:rFonts w:hint="eastAsia" w:ascii="宋体" w:hAnsi="宋体"/>
                <w:sz w:val="24"/>
              </w:rPr>
            </w:pPr>
            <w:r>
              <w:rPr>
                <w:rFonts w:hint="eastAsia" w:ascii="宋体" w:hAnsi="宋体"/>
                <w:sz w:val="24"/>
              </w:rPr>
              <w:t>水分含量</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8</w:t>
            </w:r>
          </w:p>
        </w:tc>
        <w:tc>
          <w:tcPr>
            <w:tcW w:w="1980" w:type="dxa"/>
            <w:vAlign w:val="center"/>
          </w:tcPr>
          <w:p>
            <w:pPr>
              <w:snapToGrid w:val="0"/>
              <w:spacing w:line="360" w:lineRule="auto"/>
              <w:rPr>
                <w:rFonts w:hint="eastAsia" w:ascii="宋体" w:hAnsi="宋体"/>
                <w:sz w:val="24"/>
              </w:rPr>
            </w:pPr>
            <w:r>
              <w:rPr>
                <w:rFonts w:hint="eastAsia" w:ascii="宋体" w:hAnsi="宋体"/>
                <w:sz w:val="24"/>
              </w:rPr>
              <w:t>灰分</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9</w:t>
            </w:r>
          </w:p>
        </w:tc>
        <w:tc>
          <w:tcPr>
            <w:tcW w:w="1980" w:type="dxa"/>
            <w:vAlign w:val="center"/>
          </w:tcPr>
          <w:p>
            <w:pPr>
              <w:snapToGrid w:val="0"/>
              <w:spacing w:line="360" w:lineRule="auto"/>
              <w:rPr>
                <w:rFonts w:hint="eastAsia" w:ascii="宋体" w:hAnsi="宋体"/>
                <w:sz w:val="24"/>
              </w:rPr>
            </w:pPr>
            <w:r>
              <w:rPr>
                <w:rFonts w:hint="eastAsia" w:ascii="宋体" w:hAnsi="宋体"/>
                <w:sz w:val="24"/>
              </w:rPr>
              <w:t>含砂量</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10</w:t>
            </w:r>
          </w:p>
        </w:tc>
        <w:tc>
          <w:tcPr>
            <w:tcW w:w="1980" w:type="dxa"/>
            <w:vAlign w:val="center"/>
          </w:tcPr>
          <w:p>
            <w:pPr>
              <w:snapToGrid w:val="0"/>
              <w:spacing w:line="360" w:lineRule="auto"/>
              <w:rPr>
                <w:rFonts w:hint="eastAsia" w:ascii="宋体" w:hAnsi="宋体"/>
                <w:sz w:val="24"/>
              </w:rPr>
            </w:pPr>
            <w:r>
              <w:rPr>
                <w:rFonts w:hint="eastAsia" w:ascii="宋体" w:hAnsi="宋体"/>
                <w:sz w:val="24"/>
              </w:rPr>
              <w:t>砷</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11</w:t>
            </w:r>
          </w:p>
        </w:tc>
        <w:tc>
          <w:tcPr>
            <w:tcW w:w="1980" w:type="dxa"/>
            <w:vAlign w:val="center"/>
          </w:tcPr>
          <w:p>
            <w:pPr>
              <w:snapToGrid w:val="0"/>
              <w:spacing w:line="360" w:lineRule="auto"/>
              <w:rPr>
                <w:rFonts w:hint="eastAsia" w:ascii="宋体" w:hAnsi="宋体"/>
                <w:sz w:val="24"/>
              </w:rPr>
            </w:pPr>
            <w:r>
              <w:rPr>
                <w:rFonts w:hint="eastAsia" w:ascii="宋体" w:hAnsi="宋体"/>
                <w:sz w:val="24"/>
              </w:rPr>
              <w:t>铅</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12</w:t>
            </w:r>
          </w:p>
        </w:tc>
        <w:tc>
          <w:tcPr>
            <w:tcW w:w="1980" w:type="dxa"/>
            <w:vAlign w:val="center"/>
          </w:tcPr>
          <w:p>
            <w:pPr>
              <w:snapToGrid w:val="0"/>
              <w:spacing w:line="360" w:lineRule="auto"/>
              <w:rPr>
                <w:rFonts w:hint="eastAsia" w:ascii="宋体" w:hAnsi="宋体"/>
                <w:sz w:val="24"/>
              </w:rPr>
            </w:pPr>
            <w:r>
              <w:rPr>
                <w:rFonts w:hint="eastAsia" w:ascii="宋体" w:hAnsi="宋体"/>
                <w:sz w:val="24"/>
              </w:rPr>
              <w:t>二氧化硫残留量</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13</w:t>
            </w:r>
          </w:p>
        </w:tc>
        <w:tc>
          <w:tcPr>
            <w:tcW w:w="1980" w:type="dxa"/>
            <w:vAlign w:val="center"/>
          </w:tcPr>
          <w:p>
            <w:pPr>
              <w:snapToGrid w:val="0"/>
              <w:spacing w:line="360" w:lineRule="auto"/>
              <w:rPr>
                <w:rFonts w:hint="eastAsia" w:ascii="宋体" w:hAnsi="宋体"/>
                <w:sz w:val="24"/>
              </w:rPr>
            </w:pPr>
            <w:r>
              <w:rPr>
                <w:rFonts w:hint="eastAsia" w:ascii="宋体" w:hAnsi="宋体"/>
                <w:sz w:val="24"/>
              </w:rPr>
              <w:t>黄曲霉毒素B</w:t>
            </w:r>
            <w:r>
              <w:rPr>
                <w:rFonts w:hint="eastAsia" w:ascii="宋体" w:hAnsi="宋体"/>
                <w:sz w:val="24"/>
                <w:vertAlign w:val="subscript"/>
              </w:rPr>
              <w:t>1</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line="360" w:lineRule="auto"/>
              <w:jc w:val="center"/>
              <w:rPr>
                <w:rFonts w:hint="eastAsia" w:ascii="宋体" w:hAnsi="宋体"/>
                <w:sz w:val="24"/>
              </w:rPr>
            </w:pPr>
            <w:r>
              <w:rPr>
                <w:rFonts w:hint="eastAsia" w:ascii="宋体" w:hAnsi="宋体"/>
                <w:sz w:val="24"/>
              </w:rPr>
              <w:t>14</w:t>
            </w:r>
          </w:p>
        </w:tc>
        <w:tc>
          <w:tcPr>
            <w:tcW w:w="1980" w:type="dxa"/>
            <w:vAlign w:val="center"/>
          </w:tcPr>
          <w:p>
            <w:pPr>
              <w:snapToGrid w:val="0"/>
              <w:spacing w:line="360" w:lineRule="auto"/>
              <w:rPr>
                <w:rFonts w:hint="eastAsia" w:ascii="宋体" w:hAnsi="宋体"/>
                <w:sz w:val="24"/>
              </w:rPr>
            </w:pPr>
            <w:r>
              <w:rPr>
                <w:rFonts w:hint="eastAsia" w:ascii="宋体" w:hAnsi="宋体"/>
                <w:sz w:val="24"/>
              </w:rPr>
              <w:t>标签</w:t>
            </w:r>
          </w:p>
        </w:tc>
        <w:tc>
          <w:tcPr>
            <w:tcW w:w="90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1080" w:type="dxa"/>
            <w:vAlign w:val="center"/>
          </w:tcPr>
          <w:p>
            <w:pPr>
              <w:snapToGrid w:val="0"/>
              <w:spacing w:line="360" w:lineRule="auto"/>
              <w:jc w:val="center"/>
              <w:rPr>
                <w:rFonts w:hint="eastAsia" w:ascii="宋体" w:hAnsi="宋体"/>
                <w:sz w:val="24"/>
              </w:rPr>
            </w:pPr>
            <w:r>
              <w:rPr>
                <w:rFonts w:hint="eastAsia" w:ascii="宋体" w:hAnsi="宋体"/>
                <w:sz w:val="24"/>
              </w:rPr>
              <w:t>√</w:t>
            </w:r>
          </w:p>
        </w:tc>
        <w:tc>
          <w:tcPr>
            <w:tcW w:w="900" w:type="dxa"/>
          </w:tcPr>
          <w:p>
            <w:pPr>
              <w:snapToGrid w:val="0"/>
              <w:spacing w:line="360" w:lineRule="auto"/>
              <w:jc w:val="center"/>
              <w:rPr>
                <w:rFonts w:hint="eastAsia" w:ascii="宋体" w:hAnsi="宋体"/>
                <w:sz w:val="24"/>
              </w:rPr>
            </w:pPr>
            <w:r>
              <w:rPr>
                <w:rFonts w:hint="eastAsia" w:ascii="宋体" w:hAnsi="宋体"/>
                <w:sz w:val="24"/>
              </w:rPr>
              <w:t>*</w:t>
            </w:r>
          </w:p>
        </w:tc>
        <w:tc>
          <w:tcPr>
            <w:tcW w:w="2340" w:type="dxa"/>
          </w:tcPr>
          <w:p>
            <w:pPr>
              <w:snapToGrid w:val="0"/>
              <w:spacing w:line="360" w:lineRule="auto"/>
              <w:jc w:val="center"/>
              <w:rPr>
                <w:rFonts w:hint="eastAsia" w:ascii="宋体" w:hAnsi="宋体"/>
                <w:sz w:val="24"/>
              </w:rPr>
            </w:pPr>
          </w:p>
        </w:tc>
      </w:tr>
    </w:tbl>
    <w:p>
      <w:pPr>
        <w:pStyle w:val="10"/>
        <w:spacing w:after="0" w:line="360" w:lineRule="auto"/>
        <w:ind w:firstLine="480" w:firstLineChars="200"/>
        <w:rPr>
          <w:rFonts w:hint="eastAsia" w:ascii="宋体" w:hAnsi="宋体"/>
          <w:sz w:val="24"/>
        </w:rPr>
      </w:pPr>
      <w:r>
        <w:rPr>
          <w:rFonts w:hint="eastAsia" w:ascii="宋体" w:hAnsi="宋体"/>
          <w:sz w:val="24"/>
        </w:rPr>
        <w:t>注：依据GB/T18104-2000、NY/T494-2002等</w:t>
      </w:r>
    </w:p>
    <w:p>
      <w:pPr>
        <w:pStyle w:val="10"/>
        <w:spacing w:after="0" w:line="360" w:lineRule="auto"/>
        <w:jc w:val="center"/>
        <w:rPr>
          <w:rFonts w:hint="eastAsia" w:ascii="宋体" w:hAnsi="宋体"/>
          <w:b/>
          <w:sz w:val="24"/>
        </w:rPr>
      </w:pPr>
      <w:r>
        <w:rPr>
          <w:rFonts w:hint="eastAsia" w:ascii="宋体" w:hAnsi="宋体"/>
          <w:b/>
          <w:sz w:val="24"/>
        </w:rPr>
        <w:t>薯泥（酱）类质量检验项目表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87"/>
        <w:gridCol w:w="1029"/>
        <w:gridCol w:w="897"/>
        <w:gridCol w:w="1076"/>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adjustRightInd w:val="0"/>
              <w:snapToGrid w:val="0"/>
              <w:spacing w:line="360" w:lineRule="auto"/>
              <w:jc w:val="center"/>
              <w:rPr>
                <w:rFonts w:hint="eastAsia" w:ascii="宋体" w:hAnsi="宋体"/>
                <w:sz w:val="24"/>
              </w:rPr>
            </w:pPr>
            <w:r>
              <w:rPr>
                <w:rFonts w:hint="eastAsia" w:ascii="宋体" w:hAnsi="宋体"/>
                <w:sz w:val="24"/>
              </w:rPr>
              <w:t>序号</w:t>
            </w:r>
          </w:p>
        </w:tc>
        <w:tc>
          <w:tcPr>
            <w:tcW w:w="1687" w:type="dxa"/>
          </w:tcPr>
          <w:p>
            <w:pPr>
              <w:adjustRightInd w:val="0"/>
              <w:snapToGrid w:val="0"/>
              <w:spacing w:line="360" w:lineRule="auto"/>
              <w:jc w:val="center"/>
              <w:rPr>
                <w:rFonts w:hint="eastAsia" w:ascii="宋体" w:hAnsi="宋体"/>
                <w:sz w:val="24"/>
              </w:rPr>
            </w:pPr>
            <w:r>
              <w:rPr>
                <w:rFonts w:hint="eastAsia" w:ascii="宋体" w:hAnsi="宋体"/>
                <w:sz w:val="24"/>
              </w:rPr>
              <w:t>检验项目</w:t>
            </w:r>
          </w:p>
        </w:tc>
        <w:tc>
          <w:tcPr>
            <w:tcW w:w="1029" w:type="dxa"/>
          </w:tcPr>
          <w:p>
            <w:pPr>
              <w:adjustRightInd w:val="0"/>
              <w:snapToGrid w:val="0"/>
              <w:spacing w:line="360" w:lineRule="auto"/>
              <w:jc w:val="center"/>
              <w:rPr>
                <w:rFonts w:hint="eastAsia" w:ascii="宋体" w:hAnsi="宋体"/>
                <w:sz w:val="24"/>
              </w:rPr>
            </w:pPr>
            <w:r>
              <w:rPr>
                <w:rFonts w:hint="eastAsia" w:ascii="宋体" w:hAnsi="宋体"/>
                <w:sz w:val="24"/>
              </w:rPr>
              <w:t>发证</w:t>
            </w:r>
          </w:p>
        </w:tc>
        <w:tc>
          <w:tcPr>
            <w:tcW w:w="897" w:type="dxa"/>
          </w:tcPr>
          <w:p>
            <w:pPr>
              <w:adjustRightInd w:val="0"/>
              <w:snapToGrid w:val="0"/>
              <w:spacing w:line="360" w:lineRule="auto"/>
              <w:jc w:val="center"/>
              <w:rPr>
                <w:rFonts w:hint="eastAsia" w:ascii="宋体" w:hAnsi="宋体"/>
                <w:sz w:val="24"/>
              </w:rPr>
            </w:pPr>
            <w:r>
              <w:rPr>
                <w:rFonts w:hint="eastAsia" w:ascii="宋体" w:hAnsi="宋体"/>
                <w:sz w:val="24"/>
              </w:rPr>
              <w:t>监督</w:t>
            </w:r>
          </w:p>
        </w:tc>
        <w:tc>
          <w:tcPr>
            <w:tcW w:w="1076" w:type="dxa"/>
          </w:tcPr>
          <w:p>
            <w:pPr>
              <w:adjustRightInd w:val="0"/>
              <w:snapToGrid w:val="0"/>
              <w:spacing w:line="360" w:lineRule="auto"/>
              <w:jc w:val="center"/>
              <w:rPr>
                <w:rFonts w:hint="eastAsia" w:ascii="宋体" w:hAnsi="宋体"/>
                <w:sz w:val="24"/>
              </w:rPr>
            </w:pPr>
            <w:r>
              <w:rPr>
                <w:rFonts w:hint="eastAsia" w:ascii="宋体" w:hAnsi="宋体"/>
                <w:sz w:val="24"/>
              </w:rPr>
              <w:t>出厂</w:t>
            </w:r>
          </w:p>
        </w:tc>
        <w:tc>
          <w:tcPr>
            <w:tcW w:w="2511" w:type="dxa"/>
          </w:tcPr>
          <w:p>
            <w:pPr>
              <w:adjustRightInd w:val="0"/>
              <w:snapToGrid w:val="0"/>
              <w:spacing w:line="360" w:lineRule="auto"/>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1</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感官</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tcPr>
          <w:p>
            <w:pPr>
              <w:adjustRightInd w:val="0"/>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2</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净含量</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tcPr>
          <w:p>
            <w:pPr>
              <w:adjustRightInd w:val="0"/>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3</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水分</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tcPr>
          <w:p>
            <w:pPr>
              <w:adjustRightInd w:val="0"/>
              <w:snapToGrid w:val="0"/>
              <w:spacing w:line="360" w:lineRule="auto"/>
              <w:rPr>
                <w:rFonts w:hint="eastAsia" w:ascii="宋体" w:hAnsi="宋体"/>
                <w:sz w:val="24"/>
              </w:rPr>
            </w:pPr>
            <w:r>
              <w:rPr>
                <w:rFonts w:hint="eastAsia" w:ascii="宋体" w:hAnsi="宋体"/>
                <w:sz w:val="24"/>
              </w:rPr>
              <w:t>执行标准有此项目时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4</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总砷</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vAlign w:val="center"/>
          </w:tcPr>
          <w:p>
            <w:pPr>
              <w:adjustRightInd w:val="0"/>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5</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铅</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vAlign w:val="center"/>
          </w:tcPr>
          <w:p>
            <w:pPr>
              <w:adjustRightInd w:val="0"/>
              <w:snapToGrid w:val="0"/>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6</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防腐剂（苯甲酸、山梨酸）</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vAlign w:val="center"/>
          </w:tcPr>
          <w:p>
            <w:pPr>
              <w:adjustRightInd w:val="0"/>
              <w:snapToGrid w:val="0"/>
              <w:spacing w:line="360" w:lineRule="auto"/>
              <w:rPr>
                <w:rFonts w:hint="eastAsia" w:ascii="宋体" w:hAnsi="宋体"/>
                <w:sz w:val="24"/>
              </w:rPr>
            </w:pPr>
            <w:r>
              <w:rPr>
                <w:rFonts w:hint="eastAsia" w:ascii="宋体" w:hAnsi="宋体"/>
                <w:sz w:val="24"/>
              </w:rPr>
              <w:t>按GB2760考核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7</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菌落总数</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tcPr>
          <w:p>
            <w:pPr>
              <w:adjustRightInd w:val="0"/>
              <w:snapToGrid w:val="0"/>
              <w:spacing w:line="360" w:lineRule="auto"/>
              <w:jc w:val="center"/>
              <w:rPr>
                <w:rFonts w:hint="eastAsia" w:ascii="宋体" w:hAnsi="宋体"/>
                <w:sz w:val="24"/>
              </w:rPr>
            </w:pPr>
          </w:p>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vAlign w:val="center"/>
          </w:tcPr>
          <w:p>
            <w:pPr>
              <w:adjustRightInd w:val="0"/>
              <w:snapToGrid w:val="0"/>
              <w:spacing w:line="360" w:lineRule="auto"/>
              <w:rPr>
                <w:rFonts w:hint="eastAsia" w:ascii="宋体" w:hAnsi="宋体"/>
                <w:sz w:val="24"/>
              </w:rPr>
            </w:pPr>
            <w:r>
              <w:rPr>
                <w:rFonts w:hint="eastAsia" w:ascii="宋体" w:hAnsi="宋体"/>
                <w:sz w:val="24"/>
              </w:rPr>
              <w:t>按执行标准考核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8</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大肠菌群</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tcPr>
          <w:p>
            <w:pPr>
              <w:adjustRightInd w:val="0"/>
              <w:snapToGrid w:val="0"/>
              <w:spacing w:line="360" w:lineRule="auto"/>
              <w:jc w:val="center"/>
              <w:rPr>
                <w:rFonts w:hint="eastAsia" w:ascii="宋体" w:hAnsi="宋体"/>
                <w:sz w:val="24"/>
              </w:rPr>
            </w:pPr>
          </w:p>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tcPr>
          <w:p>
            <w:pPr>
              <w:adjustRightInd w:val="0"/>
              <w:snapToGrid w:val="0"/>
              <w:spacing w:line="360" w:lineRule="auto"/>
              <w:rPr>
                <w:rFonts w:hint="eastAsia" w:ascii="宋体" w:hAnsi="宋体"/>
                <w:sz w:val="24"/>
              </w:rPr>
            </w:pPr>
            <w:r>
              <w:rPr>
                <w:rFonts w:hint="eastAsia" w:ascii="宋体" w:hAnsi="宋体"/>
                <w:sz w:val="24"/>
              </w:rPr>
              <w:t>按执行标准考核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9</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致病菌</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tcPr>
          <w:p>
            <w:pPr>
              <w:adjustRightInd w:val="0"/>
              <w:snapToGrid w:val="0"/>
              <w:spacing w:line="360" w:lineRule="auto"/>
              <w:rPr>
                <w:rFonts w:hint="eastAsia" w:ascii="宋体" w:hAnsi="宋体"/>
                <w:sz w:val="24"/>
              </w:rPr>
            </w:pPr>
            <w:r>
              <w:rPr>
                <w:rFonts w:hint="eastAsia" w:ascii="宋体" w:hAnsi="宋体"/>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10</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商业无菌</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tcPr>
          <w:p>
            <w:pPr>
              <w:adjustRightInd w:val="0"/>
              <w:snapToGrid w:val="0"/>
              <w:spacing w:line="360" w:lineRule="auto"/>
              <w:rPr>
                <w:rFonts w:hint="eastAsia" w:ascii="宋体" w:hAnsi="宋体"/>
                <w:sz w:val="24"/>
              </w:rPr>
            </w:pPr>
            <w:r>
              <w:rPr>
                <w:rFonts w:hint="eastAsia" w:ascii="宋体" w:hAnsi="宋体"/>
                <w:sz w:val="24"/>
              </w:rPr>
              <w:t>罐头工艺检验此项目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Align w:val="center"/>
          </w:tcPr>
          <w:p>
            <w:pPr>
              <w:adjustRightInd w:val="0"/>
              <w:snapToGrid w:val="0"/>
              <w:spacing w:line="360" w:lineRule="auto"/>
              <w:jc w:val="center"/>
              <w:rPr>
                <w:rFonts w:hint="eastAsia" w:ascii="宋体" w:hAnsi="宋体"/>
                <w:sz w:val="24"/>
              </w:rPr>
            </w:pPr>
            <w:r>
              <w:rPr>
                <w:rFonts w:hint="eastAsia" w:ascii="宋体" w:hAnsi="宋体"/>
                <w:sz w:val="24"/>
              </w:rPr>
              <w:t>11</w:t>
            </w:r>
          </w:p>
        </w:tc>
        <w:tc>
          <w:tcPr>
            <w:tcW w:w="1687" w:type="dxa"/>
            <w:vAlign w:val="center"/>
          </w:tcPr>
          <w:p>
            <w:pPr>
              <w:adjustRightInd w:val="0"/>
              <w:snapToGrid w:val="0"/>
              <w:spacing w:line="360" w:lineRule="auto"/>
              <w:rPr>
                <w:rFonts w:hint="eastAsia" w:ascii="宋体" w:hAnsi="宋体"/>
                <w:sz w:val="24"/>
              </w:rPr>
            </w:pPr>
            <w:r>
              <w:rPr>
                <w:rFonts w:hint="eastAsia" w:ascii="宋体" w:hAnsi="宋体"/>
                <w:sz w:val="24"/>
              </w:rPr>
              <w:t>标签</w:t>
            </w:r>
          </w:p>
        </w:tc>
        <w:tc>
          <w:tcPr>
            <w:tcW w:w="1029"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897" w:type="dxa"/>
            <w:vAlign w:val="center"/>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1076" w:type="dxa"/>
          </w:tcPr>
          <w:p>
            <w:pPr>
              <w:adjustRightInd w:val="0"/>
              <w:snapToGrid w:val="0"/>
              <w:spacing w:line="360" w:lineRule="auto"/>
              <w:jc w:val="center"/>
              <w:rPr>
                <w:rFonts w:hint="eastAsia" w:ascii="宋体" w:hAnsi="宋体"/>
                <w:sz w:val="24"/>
              </w:rPr>
            </w:pPr>
            <w:r>
              <w:rPr>
                <w:rFonts w:hint="eastAsia" w:ascii="宋体" w:hAnsi="宋体"/>
                <w:sz w:val="24"/>
              </w:rPr>
              <w:t>*</w:t>
            </w:r>
          </w:p>
        </w:tc>
        <w:tc>
          <w:tcPr>
            <w:tcW w:w="2511" w:type="dxa"/>
          </w:tcPr>
          <w:p>
            <w:pPr>
              <w:adjustRightInd w:val="0"/>
              <w:snapToGrid w:val="0"/>
              <w:spacing w:line="360" w:lineRule="auto"/>
              <w:rPr>
                <w:rFonts w:hint="eastAsia" w:ascii="宋体" w:hAnsi="宋体"/>
                <w:sz w:val="24"/>
              </w:rPr>
            </w:pPr>
          </w:p>
        </w:tc>
      </w:tr>
    </w:tbl>
    <w:p>
      <w:pPr>
        <w:pStyle w:val="10"/>
        <w:spacing w:after="0" w:line="360" w:lineRule="auto"/>
        <w:jc w:val="center"/>
        <w:rPr>
          <w:rFonts w:hint="eastAsia" w:ascii="宋体" w:hAnsi="宋体"/>
          <w:b/>
          <w:sz w:val="24"/>
        </w:rPr>
      </w:pPr>
      <w:r>
        <w:rPr>
          <w:rFonts w:hint="eastAsia" w:ascii="宋体" w:hAnsi="宋体"/>
          <w:b/>
          <w:sz w:val="24"/>
        </w:rPr>
        <w:t>其他薯类（冷冻薯类、薯粉类等）质量检验项目表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900"/>
        <w:gridCol w:w="900"/>
        <w:gridCol w:w="9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序号</w:t>
            </w:r>
          </w:p>
        </w:tc>
        <w:tc>
          <w:tcPr>
            <w:tcW w:w="144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检验项目</w:t>
            </w:r>
          </w:p>
        </w:tc>
        <w:tc>
          <w:tcPr>
            <w:tcW w:w="90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发证</w:t>
            </w:r>
          </w:p>
        </w:tc>
        <w:tc>
          <w:tcPr>
            <w:tcW w:w="90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监督</w:t>
            </w:r>
          </w:p>
        </w:tc>
        <w:tc>
          <w:tcPr>
            <w:tcW w:w="90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出厂</w:t>
            </w:r>
          </w:p>
        </w:tc>
        <w:tc>
          <w:tcPr>
            <w:tcW w:w="306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1</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感官</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tcPr>
          <w:p>
            <w:pPr>
              <w:adjustRightInd w:val="0"/>
              <w:snapToGrid w:val="0"/>
              <w:spacing w:line="360" w:lineRule="auto"/>
              <w:ind w:right="105" w:rightChars="5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2</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净含量</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tcPr>
          <w:p>
            <w:pPr>
              <w:adjustRightInd w:val="0"/>
              <w:snapToGrid w:val="0"/>
              <w:spacing w:line="360" w:lineRule="auto"/>
              <w:ind w:right="105" w:rightChars="5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3</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水分</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tcPr>
          <w:p>
            <w:pPr>
              <w:adjustRightInd w:val="0"/>
              <w:snapToGrid w:val="0"/>
              <w:spacing w:line="360" w:lineRule="auto"/>
              <w:ind w:right="105" w:rightChars="50"/>
              <w:jc w:val="left"/>
              <w:rPr>
                <w:rFonts w:hint="eastAsia" w:ascii="宋体" w:hAnsi="宋体"/>
                <w:sz w:val="24"/>
              </w:rPr>
            </w:pPr>
            <w:r>
              <w:rPr>
                <w:rFonts w:hint="eastAsia" w:ascii="宋体" w:hAnsi="宋体"/>
                <w:sz w:val="24"/>
              </w:rPr>
              <w:t>执行标准有此项目时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4</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总砷</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vAlign w:val="center"/>
          </w:tcPr>
          <w:p>
            <w:pPr>
              <w:adjustRightInd w:val="0"/>
              <w:snapToGrid w:val="0"/>
              <w:spacing w:line="360" w:lineRule="auto"/>
              <w:ind w:right="105" w:rightChars="5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5</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铅</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vAlign w:val="center"/>
          </w:tcPr>
          <w:p>
            <w:pPr>
              <w:adjustRightInd w:val="0"/>
              <w:snapToGrid w:val="0"/>
              <w:spacing w:line="360" w:lineRule="auto"/>
              <w:ind w:right="105" w:rightChars="5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6</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菌落总数</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执行标准有此项目时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7</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霉菌</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tcPr>
          <w:p>
            <w:pPr>
              <w:adjustRightInd w:val="0"/>
              <w:snapToGrid w:val="0"/>
              <w:spacing w:line="360" w:lineRule="auto"/>
              <w:ind w:right="105" w:rightChars="50"/>
              <w:jc w:val="left"/>
              <w:rPr>
                <w:rFonts w:hint="eastAsia" w:ascii="宋体" w:hAnsi="宋体"/>
                <w:sz w:val="24"/>
              </w:rPr>
            </w:pPr>
            <w:r>
              <w:rPr>
                <w:rFonts w:hint="eastAsia" w:ascii="宋体" w:hAnsi="宋体"/>
                <w:sz w:val="24"/>
              </w:rPr>
              <w:t>执行标准有此项目时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8</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大肠菌群</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tcPr>
          <w:p>
            <w:pPr>
              <w:adjustRightInd w:val="0"/>
              <w:snapToGrid w:val="0"/>
              <w:spacing w:line="360" w:lineRule="auto"/>
              <w:ind w:right="105" w:rightChars="50"/>
              <w:jc w:val="left"/>
              <w:rPr>
                <w:rFonts w:hint="eastAsia" w:ascii="宋体" w:hAnsi="宋体"/>
                <w:sz w:val="24"/>
              </w:rPr>
            </w:pPr>
            <w:r>
              <w:rPr>
                <w:rFonts w:hint="eastAsia" w:ascii="宋体" w:hAnsi="宋体"/>
                <w:sz w:val="24"/>
              </w:rPr>
              <w:t>执行标准有此项目时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9</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致病菌</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tcPr>
          <w:p>
            <w:pPr>
              <w:adjustRightInd w:val="0"/>
              <w:snapToGrid w:val="0"/>
              <w:spacing w:line="360" w:lineRule="auto"/>
              <w:ind w:right="105" w:rightChars="50"/>
              <w:jc w:val="left"/>
              <w:rPr>
                <w:rFonts w:hint="eastAsia" w:ascii="宋体" w:hAnsi="宋体"/>
                <w:sz w:val="24"/>
              </w:rPr>
            </w:pPr>
            <w:r>
              <w:rPr>
                <w:rFonts w:hint="eastAsia" w:ascii="宋体" w:hAnsi="宋体"/>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10</w:t>
            </w:r>
          </w:p>
        </w:tc>
        <w:tc>
          <w:tcPr>
            <w:tcW w:w="1440" w:type="dxa"/>
            <w:vAlign w:val="center"/>
          </w:tcPr>
          <w:p>
            <w:pPr>
              <w:adjustRightInd w:val="0"/>
              <w:snapToGrid w:val="0"/>
              <w:spacing w:line="360" w:lineRule="auto"/>
              <w:ind w:right="105" w:rightChars="50"/>
              <w:jc w:val="left"/>
              <w:rPr>
                <w:rFonts w:hint="eastAsia" w:ascii="宋体" w:hAnsi="宋体"/>
                <w:sz w:val="24"/>
              </w:rPr>
            </w:pPr>
            <w:r>
              <w:rPr>
                <w:rFonts w:hint="eastAsia" w:ascii="宋体" w:hAnsi="宋体"/>
                <w:sz w:val="24"/>
              </w:rPr>
              <w:t>标签</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900" w:type="dxa"/>
            <w:vAlign w:val="center"/>
          </w:tcPr>
          <w:p>
            <w:pPr>
              <w:adjustRightInd w:val="0"/>
              <w:snapToGrid w:val="0"/>
              <w:spacing w:line="360" w:lineRule="auto"/>
              <w:ind w:right="105" w:rightChars="50"/>
              <w:jc w:val="center"/>
              <w:rPr>
                <w:rFonts w:hint="eastAsia" w:ascii="宋体" w:hAnsi="宋体"/>
                <w:sz w:val="24"/>
              </w:rPr>
            </w:pPr>
            <w:r>
              <w:rPr>
                <w:rFonts w:hint="eastAsia" w:ascii="宋体" w:hAnsi="宋体"/>
                <w:sz w:val="24"/>
              </w:rPr>
              <w:t>*</w:t>
            </w:r>
          </w:p>
        </w:tc>
        <w:tc>
          <w:tcPr>
            <w:tcW w:w="3060" w:type="dxa"/>
          </w:tcPr>
          <w:p>
            <w:pPr>
              <w:adjustRightInd w:val="0"/>
              <w:snapToGrid w:val="0"/>
              <w:spacing w:line="360" w:lineRule="auto"/>
              <w:ind w:right="105" w:rightChars="50"/>
              <w:jc w:val="left"/>
              <w:rPr>
                <w:rFonts w:hint="eastAsia" w:ascii="宋体" w:hAnsi="宋体"/>
                <w:sz w:val="24"/>
              </w:rPr>
            </w:pPr>
          </w:p>
        </w:tc>
      </w:tr>
    </w:tbl>
    <w:p>
      <w:pPr>
        <w:pStyle w:val="3"/>
        <w:spacing w:before="0" w:after="0" w:line="360" w:lineRule="auto"/>
        <w:rPr>
          <w:rFonts w:hint="eastAsia" w:ascii="宋体" w:hAnsi="宋体" w:eastAsia="宋体"/>
          <w:sz w:val="24"/>
          <w:szCs w:val="24"/>
        </w:rPr>
      </w:pPr>
      <w:bookmarkStart w:id="12" w:name="_Toc33036731"/>
      <w:r>
        <w:rPr>
          <w:rFonts w:hint="eastAsia" w:ascii="宋体" w:hAnsi="宋体" w:eastAsia="宋体"/>
          <w:sz w:val="24"/>
          <w:szCs w:val="24"/>
        </w:rPr>
        <w:t>八、抽样方法</w:t>
      </w:r>
      <w:bookmarkEnd w:id="12"/>
    </w:p>
    <w:p>
      <w:pPr>
        <w:pStyle w:val="10"/>
        <w:spacing w:after="0" w:line="360" w:lineRule="auto"/>
        <w:ind w:firstLine="480" w:firstLineChars="200"/>
        <w:rPr>
          <w:rFonts w:hint="eastAsia" w:ascii="宋体" w:hAnsi="宋体"/>
          <w:sz w:val="24"/>
        </w:rPr>
      </w:pPr>
      <w:r>
        <w:rPr>
          <w:rFonts w:hint="eastAsia" w:ascii="宋体" w:hAnsi="宋体"/>
          <w:sz w:val="24"/>
        </w:rPr>
        <w:t>1．根据企业所申请取证产品品种，在干制薯类、冷冻薯类、薯泥（酱）类、薯粉类、其他薯类中每类产品各抽取一个产品进行发证检验。所抽样品须为同一批次并在保质期内的产品。</w:t>
      </w:r>
    </w:p>
    <w:p>
      <w:pPr>
        <w:pStyle w:val="10"/>
        <w:spacing w:after="0" w:line="360" w:lineRule="auto"/>
        <w:ind w:firstLine="480" w:firstLineChars="200"/>
        <w:rPr>
          <w:rFonts w:hint="eastAsia" w:ascii="宋体" w:hAnsi="宋体"/>
          <w:sz w:val="24"/>
        </w:rPr>
      </w:pPr>
      <w:r>
        <w:rPr>
          <w:rFonts w:hint="eastAsia" w:ascii="宋体" w:hAnsi="宋体"/>
          <w:sz w:val="24"/>
        </w:rPr>
        <w:t>2．抽样基数及样品数量</w:t>
      </w:r>
    </w:p>
    <w:p>
      <w:pPr>
        <w:pStyle w:val="10"/>
        <w:spacing w:after="0" w:line="360" w:lineRule="auto"/>
        <w:rPr>
          <w:rFonts w:hint="eastAsia" w:ascii="宋体" w:hAnsi="宋体"/>
          <w:sz w:val="24"/>
        </w:rPr>
      </w:pPr>
      <w:r>
        <w:rPr>
          <w:rFonts w:hint="eastAsia" w:ascii="宋体" w:hAnsi="宋体"/>
          <w:sz w:val="24"/>
        </w:rPr>
        <w:t>抽样基数不少于100个包装（或50Kg），抽样数量不少于20个包装（或2Kg）。将样品平均分为2份，1份检验，1份备查。</w:t>
      </w:r>
    </w:p>
    <w:p>
      <w:pPr>
        <w:pStyle w:val="10"/>
        <w:spacing w:after="0" w:line="360" w:lineRule="auto"/>
        <w:ind w:firstLine="480" w:firstLineChars="200"/>
        <w:rPr>
          <w:rFonts w:hint="eastAsia" w:ascii="宋体" w:hAnsi="宋体"/>
          <w:sz w:val="24"/>
        </w:rPr>
      </w:pPr>
      <w:r>
        <w:rPr>
          <w:rFonts w:hint="eastAsia" w:ascii="宋体" w:hAnsi="宋体"/>
          <w:sz w:val="24"/>
        </w:rPr>
        <w:t>3．其他注意事项</w:t>
      </w:r>
    </w:p>
    <w:p>
      <w:pPr>
        <w:pStyle w:val="10"/>
        <w:spacing w:after="0" w:line="360" w:lineRule="auto"/>
        <w:rPr>
          <w:rFonts w:hint="eastAsia" w:ascii="宋体" w:hAnsi="宋体"/>
          <w:sz w:val="24"/>
        </w:rPr>
      </w:pPr>
      <w:r>
        <w:rPr>
          <w:rFonts w:hint="eastAsia" w:ascii="宋体" w:hAnsi="宋体"/>
          <w:sz w:val="24"/>
        </w:rPr>
        <w:t>样品确认无误后，由核查组抽样人员与被抽样单位在抽样单上签字、盖章、当场封存样品，并加贴封条。如产品在标签明示标准中有工艺类型和等级区别的，抽样人员应在抽样单上相应注明。封条上应有抽样人员签名、抽样单位盖章及封样日期。</w:t>
      </w:r>
    </w:p>
    <w:p>
      <w:pPr>
        <w:widowControl/>
        <w:spacing w:line="360" w:lineRule="auto"/>
        <w:jc w:val="center"/>
        <w:rPr>
          <w:rFonts w:ascii="宋体" w:hAnsi="宋体"/>
          <w:sz w:val="24"/>
        </w:rPr>
      </w:pPr>
    </w:p>
    <w:p>
      <w:pPr>
        <w:spacing w:line="360" w:lineRule="auto"/>
        <w:rPr>
          <w:rFonts w:ascii="宋体" w:hAnsi="宋体"/>
          <w:sz w:val="24"/>
        </w:rPr>
      </w:pPr>
    </w:p>
    <w:sectPr>
      <w:headerReference r:id="rId3" w:type="default"/>
      <w:footerReference r:id="rId4" w:type="default"/>
      <w:pgSz w:w="11906" w:h="16838"/>
      <w:pgMar w:top="1247" w:right="1701" w:bottom="1247" w:left="170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7"/>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1</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6</w:t>
                          </w:r>
                          <w:r>
                            <w:rPr>
                              <w:rFonts w:eastAsia="楷体"/>
                            </w:rPr>
                            <w:fldChar w:fldCharType="end"/>
                          </w:r>
                          <w:r>
                            <w:rPr>
                              <w:rFonts w:eastAsia="楷体"/>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1</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6</w:t>
                    </w:r>
                    <w:r>
                      <w:rPr>
                        <w:rFonts w:eastAsia="楷体"/>
                      </w:rPr>
                      <w:fldChar w:fldCharType="end"/>
                    </w:r>
                    <w:r>
                      <w:rPr>
                        <w:rFonts w:eastAsia="楷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3" w:name="_GoBack"/>
    <w:bookmarkEnd w:id="13"/>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Y2QyODhlNzk1NGE3YTEwZTEzMzM5NDg5MDFkNzEifQ=="/>
  </w:docVars>
  <w:rsids>
    <w:rsidRoot w:val="00CB231E"/>
    <w:rsid w:val="0012622B"/>
    <w:rsid w:val="00214CDC"/>
    <w:rsid w:val="0030615B"/>
    <w:rsid w:val="003661A5"/>
    <w:rsid w:val="003C322E"/>
    <w:rsid w:val="004E2BB3"/>
    <w:rsid w:val="0065422A"/>
    <w:rsid w:val="00670369"/>
    <w:rsid w:val="006C42D2"/>
    <w:rsid w:val="00707C49"/>
    <w:rsid w:val="00827D09"/>
    <w:rsid w:val="008616BF"/>
    <w:rsid w:val="00874C51"/>
    <w:rsid w:val="008C0F1D"/>
    <w:rsid w:val="00B97A88"/>
    <w:rsid w:val="00C53DEA"/>
    <w:rsid w:val="00C57B15"/>
    <w:rsid w:val="00C93240"/>
    <w:rsid w:val="00CB231E"/>
    <w:rsid w:val="00E65D29"/>
    <w:rsid w:val="2CD2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uiPriority w:val="0"/>
    <w:pPr>
      <w:tabs>
        <w:tab w:val="center" w:pos="4153"/>
        <w:tab w:val="right" w:pos="8306"/>
      </w:tabs>
      <w:snapToGrid w:val="0"/>
      <w:jc w:val="left"/>
    </w:pPr>
    <w:rPr>
      <w:sz w:val="18"/>
      <w:szCs w:val="18"/>
    </w:rPr>
  </w:style>
  <w:style w:type="paragraph" w:styleId="8">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ind w:left="420" w:leftChars="200"/>
    </w:pPr>
  </w:style>
  <w:style w:type="paragraph" w:styleId="10">
    <w:name w:val="Body Text 2"/>
    <w:basedOn w:val="1"/>
    <w:link w:val="15"/>
    <w:qFormat/>
    <w:uiPriority w:val="0"/>
    <w:pPr>
      <w:spacing w:after="120" w:line="480" w:lineRule="auto"/>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2 Char"/>
    <w:basedOn w:val="12"/>
    <w:link w:val="3"/>
    <w:qFormat/>
    <w:uiPriority w:val="0"/>
    <w:rPr>
      <w:rFonts w:ascii="Arial" w:hAnsi="Arial" w:eastAsia="黑体" w:cs="Times New Roman"/>
      <w:b/>
      <w:kern w:val="0"/>
      <w:sz w:val="32"/>
      <w:szCs w:val="20"/>
    </w:rPr>
  </w:style>
  <w:style w:type="character" w:customStyle="1" w:styleId="15">
    <w:name w:val="正文文本 2 Char"/>
    <w:basedOn w:val="12"/>
    <w:link w:val="10"/>
    <w:uiPriority w:val="0"/>
    <w:rPr>
      <w:rFonts w:ascii="Times New Roman" w:hAnsi="Times New Roman" w:eastAsia="宋体" w:cs="Times New Roman"/>
      <w:szCs w:val="24"/>
    </w:rPr>
  </w:style>
  <w:style w:type="character" w:customStyle="1" w:styleId="16">
    <w:name w:val="页眉 Char"/>
    <w:basedOn w:val="12"/>
    <w:link w:val="8"/>
    <w:uiPriority w:val="99"/>
    <w:rPr>
      <w:rFonts w:ascii="Times New Roman" w:hAnsi="Times New Roman" w:eastAsia="宋体" w:cs="Times New Roman"/>
      <w:sz w:val="18"/>
      <w:szCs w:val="18"/>
    </w:rPr>
  </w:style>
  <w:style w:type="character" w:customStyle="1" w:styleId="17">
    <w:name w:val="页脚 Char"/>
    <w:basedOn w:val="12"/>
    <w:link w:val="7"/>
    <w:uiPriority w:val="99"/>
    <w:rPr>
      <w:rFonts w:ascii="Times New Roman" w:hAnsi="Times New Roman" w:eastAsia="宋体" w:cs="Times New Roman"/>
      <w:sz w:val="18"/>
      <w:szCs w:val="18"/>
    </w:rPr>
  </w:style>
  <w:style w:type="character" w:customStyle="1" w:styleId="18">
    <w:name w:val="标题 3 Char"/>
    <w:basedOn w:val="12"/>
    <w:link w:val="4"/>
    <w:uiPriority w:val="9"/>
    <w:rPr>
      <w:rFonts w:ascii="Times New Roman" w:hAnsi="Times New Roman" w:eastAsia="宋体" w:cs="Times New Roman"/>
      <w:b/>
      <w:bCs/>
      <w:sz w:val="32"/>
      <w:szCs w:val="32"/>
    </w:rPr>
  </w:style>
  <w:style w:type="character" w:customStyle="1" w:styleId="19">
    <w:name w:val="标题 1 Char"/>
    <w:basedOn w:val="12"/>
    <w:link w:val="2"/>
    <w:qFormat/>
    <w:uiPriority w:val="9"/>
    <w:rPr>
      <w:rFonts w:ascii="Times New Roman" w:hAnsi="Times New Roman" w:eastAsia="宋体" w:cs="Times New Roman"/>
      <w:b/>
      <w:bCs/>
      <w:kern w:val="44"/>
      <w:sz w:val="44"/>
      <w:szCs w:val="44"/>
    </w:r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2412</Words>
  <Characters>2556</Characters>
  <Lines>28</Lines>
  <Paragraphs>7</Paragraphs>
  <TotalTime>37</TotalTime>
  <ScaleCrop>false</ScaleCrop>
  <LinksUpToDate>false</LinksUpToDate>
  <CharactersWithSpaces>2669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2019-06-03T02:00:00Z</dcterms:created>
  <dc:creator>HH</dc:creator>
  <cp:lastModifiedBy>Terry</cp:lastModifiedBy>
  <cp:lastPrinted>2019-06-03T05:39:00Z</cp:lastPrinted>
  <dcterms:modified xsi:type="dcterms:W3CDTF">2024-06-14T03:24:37Z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9F64192FA725437D946F918B1D1EE319_12</vt:lpwstr>
  </property>
</Properties>
</file>