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其他方便食品生产许可证审查细则</w:t>
      </w:r>
    </w:p>
    <w:p>
      <w:pPr>
        <w:pStyle w:val="18"/>
        <w:spacing w:before="0"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  <w:lang w:val="zh-CN"/>
        </w:rPr>
        <w:t>目录</w:t>
      </w:r>
    </w:p>
    <w:p>
      <w:pPr>
        <w:pStyle w:val="8"/>
        <w:spacing w:line="360" w:lineRule="auto"/>
        <w:rPr>
          <w:rFonts w:ascii="宋体" w:hAnsi="宋体" w:cstheme="minorBidi"/>
          <w:sz w:val="24"/>
          <w:szCs w:val="24"/>
        </w:rPr>
      </w:pPr>
      <w:r>
        <w:rPr>
          <w:rStyle w:val="13"/>
          <w:rFonts w:ascii="宋体" w:hAnsi="宋体"/>
          <w:sz w:val="24"/>
          <w:szCs w:val="24"/>
        </w:rPr>
        <w:fldChar w:fldCharType="begin"/>
      </w:r>
      <w:r>
        <w:rPr>
          <w:rStyle w:val="13"/>
          <w:rFonts w:ascii="宋体" w:hAnsi="宋体"/>
          <w:sz w:val="24"/>
          <w:szCs w:val="24"/>
        </w:rPr>
        <w:instrText xml:space="preserve"> TOC \o "1-3" \h \z \u </w:instrText>
      </w:r>
      <w:r>
        <w:rPr>
          <w:rStyle w:val="13"/>
          <w:rFonts w:ascii="宋体" w:hAnsi="宋体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"_Toc32925353"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其他方便食品生产许可证审查细则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_Toc32925353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"_Toc32925354"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一、发证产品范围及申证单元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_Toc32925354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"_Toc32925355"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二、基本生产流程及关键控制环节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_Toc32925355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"_Toc32925356"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（一）基本生产流程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_Toc32925356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"_Toc32925357"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（二）关键控制环节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_Toc32925357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"_Toc32925358"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（三）容易出现的质量安全问题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_Toc32925358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"_Toc32925359"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三、必备的生产资源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_Toc32925359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"_Toc32925360"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（一）生产场所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_Toc32925360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"_Toc32925361"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（二）必备的生产设备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_Toc32925361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"_Toc32925362"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四、</w:t>
      </w:r>
      <w:r>
        <w:rPr>
          <w:rStyle w:val="13"/>
          <w:rFonts w:ascii="宋体" w:hAnsi="宋体"/>
          <w:sz w:val="24"/>
          <w:szCs w:val="24"/>
        </w:rPr>
        <w:t xml:space="preserve"> </w:t>
      </w:r>
      <w:r>
        <w:rPr>
          <w:rStyle w:val="13"/>
          <w:rFonts w:hint="eastAsia" w:ascii="宋体" w:hAnsi="宋体"/>
          <w:sz w:val="24"/>
          <w:szCs w:val="24"/>
        </w:rPr>
        <w:t>产品相关标准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_Toc32925362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"_Toc32925363"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五、原辅材料的有关要求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_Toc32925363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"_Toc32925364"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六、必备的出厂检验设备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_Toc32925364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"_Toc32925365"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七、检验项目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_Toc32925365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"_Toc32925366"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八、抽样方法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_Toc32925366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"_Toc32925367" </w:instrText>
      </w:r>
      <w:r>
        <w:fldChar w:fldCharType="separate"/>
      </w:r>
      <w:r>
        <w:rPr>
          <w:rStyle w:val="13"/>
          <w:rFonts w:hint="eastAsia" w:ascii="宋体" w:hAnsi="宋体"/>
          <w:sz w:val="24"/>
          <w:szCs w:val="24"/>
        </w:rPr>
        <w:t>九、其他要求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_Toc32925367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9"/>
        <w:spacing w:line="360" w:lineRule="auto"/>
        <w:ind w:left="314" w:leftChars="0" w:hanging="314" w:hangingChars="131"/>
        <w:jc w:val="right"/>
        <w:rPr>
          <w:rFonts w:ascii="宋体" w:hAnsi="宋体"/>
          <w:sz w:val="24"/>
          <w:szCs w:val="24"/>
        </w:rPr>
      </w:pPr>
      <w:r>
        <w:rPr>
          <w:rStyle w:val="13"/>
          <w:rFonts w:ascii="宋体" w:hAnsi="宋体"/>
          <w:sz w:val="24"/>
          <w:szCs w:val="24"/>
        </w:rPr>
        <w:fldChar w:fldCharType="end"/>
      </w:r>
    </w:p>
    <w:p>
      <w:pPr>
        <w:tabs>
          <w:tab w:val="left" w:pos="2719"/>
        </w:tabs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bCs/>
          <w:kern w:val="44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bookmarkStart w:id="0" w:name="_Toc32925353"/>
      <w:r>
        <w:rPr>
          <w:rFonts w:ascii="宋体" w:hAnsi="宋体"/>
          <w:b/>
          <w:sz w:val="24"/>
          <w:szCs w:val="24"/>
        </w:rPr>
        <w:t>其他方便食品生产许可证审查细则</w:t>
      </w:r>
      <w:bookmarkEnd w:id="0"/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" w:name="_Toc32925354"/>
      <w:r>
        <w:rPr>
          <w:rFonts w:ascii="宋体" w:hAnsi="宋体"/>
          <w:sz w:val="24"/>
          <w:szCs w:val="24"/>
        </w:rPr>
        <w:t>一、发证产品范围及申证单元</w:t>
      </w:r>
      <w:bookmarkEnd w:id="1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实施食品生产许可证管理的其他方便食品是指部分或完全熟制，不经烹调或仅需简单加热、冲调就能食用的除方便面之外的食品。该类食品包括主食类，如方便米饭、方便粥、方便米粉（米线）、方便粉丝、方便湿米粉、方便豆花、方便湿面等；冲调类，如麦片、黑芝麻糊、</w:t>
      </w:r>
      <w:r>
        <w:rPr>
          <w:rFonts w:ascii="宋体" w:hAnsi="宋体"/>
          <w:color w:val="000000"/>
          <w:sz w:val="24"/>
          <w:szCs w:val="24"/>
        </w:rPr>
        <w:t>红枣羹</w:t>
      </w:r>
      <w:r>
        <w:rPr>
          <w:rFonts w:ascii="宋体" w:hAnsi="宋体"/>
          <w:sz w:val="24"/>
          <w:szCs w:val="24"/>
        </w:rPr>
        <w:t>、油茶等。</w:t>
      </w: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2" w:name="_Toc32925355"/>
      <w:r>
        <w:rPr>
          <w:rFonts w:ascii="宋体" w:hAnsi="宋体"/>
          <w:sz w:val="24"/>
          <w:szCs w:val="24"/>
        </w:rPr>
        <w:t>二、基本生产流程及关键控制环节</w:t>
      </w:r>
      <w:bookmarkEnd w:id="2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3" w:name="_Toc32925356"/>
      <w:r>
        <w:rPr>
          <w:rFonts w:ascii="宋体" w:hAnsi="宋体"/>
          <w:sz w:val="24"/>
          <w:szCs w:val="24"/>
        </w:rPr>
        <w:t>（一）基本生产流程</w:t>
      </w:r>
      <w:bookmarkEnd w:id="3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1．主食类：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基本生产流程包括原辅料处理、调粉（或不经调粉）、成型（或不经成型）、熟制、干燥（非脱水干燥产品除外）、冷却、包装等过程。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2．冲调类：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基本生产流程包括原辅料处理、熟制（或部分原料熟制）、成型或粉碎、干燥（或不经干燥）、混合、包装等过程。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4" w:name="_Toc32925357"/>
      <w:r>
        <w:rPr>
          <w:rFonts w:ascii="宋体" w:hAnsi="宋体"/>
          <w:sz w:val="24"/>
          <w:szCs w:val="24"/>
        </w:rPr>
        <w:t>（二）关键控制环节</w:t>
      </w:r>
      <w:bookmarkEnd w:id="4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1．原辅料的使用。2．食品添加剂的使用。3．熟制工序的工艺参数控制。4．干燥工序的工艺参数控制。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5" w:name="_Toc32925358"/>
      <w:r>
        <w:rPr>
          <w:rFonts w:ascii="宋体" w:hAnsi="宋体"/>
          <w:sz w:val="24"/>
          <w:szCs w:val="24"/>
        </w:rPr>
        <w:t>（三）容易出现的质量安全问题</w:t>
      </w:r>
      <w:bookmarkEnd w:id="5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1．食品添加剂超量、超范围使用。2．使用非食品原料加工食品。3．微生物污染。4．脱水干燥工艺的主食类产品复水性（率）低。</w:t>
      </w: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6" w:name="_Toc32925359"/>
      <w:r>
        <w:rPr>
          <w:rFonts w:ascii="宋体" w:hAnsi="宋体"/>
          <w:sz w:val="24"/>
          <w:szCs w:val="24"/>
        </w:rPr>
        <w:t>三、必备的生产资源</w:t>
      </w:r>
      <w:bookmarkEnd w:id="6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7" w:name="_Toc32925360"/>
      <w:r>
        <w:rPr>
          <w:rFonts w:ascii="宋体" w:hAnsi="宋体"/>
          <w:sz w:val="24"/>
          <w:szCs w:val="24"/>
        </w:rPr>
        <w:t>（一）生产场所</w:t>
      </w:r>
      <w:bookmarkEnd w:id="7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其他方便食品生产企业应具备与生产能力相适应的原辅材料库房、加工车间、包装车间、成品库房等生产场所。生产用厂房能满足工艺要求。厂房与设施必须根据工艺流程合理布局，并便于卫生管理和清洗、消毒。各生产场所的环境要采取控制措施，保证其在连续受控状态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8" w:name="_Toc32925361"/>
      <w:r>
        <w:rPr>
          <w:rFonts w:ascii="宋体" w:hAnsi="宋体"/>
          <w:sz w:val="24"/>
          <w:szCs w:val="24"/>
        </w:rPr>
        <w:t>（二）必备的生产设备</w:t>
      </w:r>
      <w:bookmarkEnd w:id="8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1．主食类：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原辅料处理设施（如：清洗设施、浸泡设施、粉碎设备、胶磨设备等）；（2）调粉设备（如：和面机等）；（3）成型设施（如：榨条机、切片（条）机、复合压延机、刀具等）；（4）熟制设备（如：蒸煮机等）；（5）干燥设施（如：热风干燥机、冷冻干燥机等）；（6）冷却设施（如：冷却装置、冷却间等）；（7）包装设施（如：包装机等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2．冲调类：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原辅料处理设施（如：清理设施、脱壳设备、浸泡设施、破碎设备、胶磨设备等）；（2）熟制设施（如：蒸煮机、烘烤箱、炒锅等）；（3）成型设备（如：造粒机、压片机等）；（4）粉碎设备（如：粉碎机等）；（5）干燥设施（如：热风干燥机等）；　　（6）混和设备（如：混合机等）；　　（7）包装设施（如：包装机等）。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企业还应具备满足生产的其他设备或设施，如旋振筛、搓丝机、松条机、熟化装置、灭菌设备等。</w:t>
      </w: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9" w:name="_Toc32925362"/>
      <w:r>
        <w:rPr>
          <w:rFonts w:ascii="宋体" w:hAnsi="宋体"/>
          <w:sz w:val="24"/>
          <w:szCs w:val="24"/>
        </w:rPr>
        <w:t>四、 产品相关标准</w:t>
      </w:r>
      <w:bookmarkEnd w:id="9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GB 19640-2005 《麦片类卫生标准》；QB/T 2652-2004《方便米粉（米线）》；经备案有效的企业标准。</w:t>
      </w: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0" w:name="_Toc32925363"/>
      <w:r>
        <w:rPr>
          <w:rFonts w:ascii="宋体" w:hAnsi="宋体"/>
          <w:sz w:val="24"/>
          <w:szCs w:val="24"/>
        </w:rPr>
        <w:t>五、原辅材料的有关要求</w:t>
      </w:r>
      <w:bookmarkEnd w:id="10"/>
    </w:p>
    <w:p>
      <w:pPr>
        <w:spacing w:line="360" w:lineRule="auto"/>
        <w:ind w:firstLine="403" w:firstLineChars="168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企业生产其他方便食品所使用的原辅材料、包装材料必须符合国家标准、行业标准及有关规定；不允许使用非食品原料加工食品。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如所使用的原辅材料为实施生产许可证管理的产品，必须选用获得生产许可证企业生产的获证产品。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调味料包等如有外购情况的，应对其进行进货验证。</w:t>
      </w: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1" w:name="_Toc32925364"/>
      <w:r>
        <w:rPr>
          <w:rFonts w:ascii="宋体" w:hAnsi="宋体"/>
          <w:sz w:val="24"/>
          <w:szCs w:val="24"/>
        </w:rPr>
        <w:t>六、必备的出厂检验设备</w:t>
      </w:r>
      <w:bookmarkEnd w:id="11"/>
    </w:p>
    <w:p>
      <w:pPr>
        <w:spacing w:line="360" w:lineRule="auto"/>
        <w:ind w:firstLine="403" w:firstLineChars="168"/>
        <w:rPr>
          <w:rFonts w:ascii="宋体" w:hAnsi="宋体"/>
          <w:sz w:val="24"/>
          <w:szCs w:val="24"/>
        </w:rPr>
      </w:pPr>
      <w:r>
        <w:rPr>
          <w:rStyle w:val="12"/>
          <w:rFonts w:ascii="宋体" w:hAnsi="宋体"/>
          <w:sz w:val="24"/>
          <w:szCs w:val="24"/>
        </w:rPr>
        <w:t>其他方便食品的生产企业应当具备下列必备的产品出厂检验设备：1. 天平（0.1g）；2. 分析天平（0.1mg）；3. 干燥箱；4. 灭菌锅；5. 无菌室或超净工作台；6. 微生物培养箱；7. 生物显微镜。</w:t>
      </w: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2" w:name="_Toc32925365"/>
      <w:r>
        <w:rPr>
          <w:rFonts w:ascii="宋体" w:hAnsi="宋体"/>
          <w:sz w:val="24"/>
          <w:szCs w:val="24"/>
        </w:rPr>
        <w:t>七、检验项目</w:t>
      </w:r>
      <w:bookmarkEnd w:id="12"/>
    </w:p>
    <w:p>
      <w:pPr>
        <w:spacing w:line="360" w:lineRule="auto"/>
        <w:ind w:firstLine="480" w:firstLineChars="200"/>
        <w:rPr>
          <w:rStyle w:val="12"/>
          <w:rFonts w:ascii="宋体" w:hAnsi="宋体"/>
          <w:sz w:val="24"/>
          <w:szCs w:val="24"/>
        </w:rPr>
      </w:pPr>
      <w:r>
        <w:rPr>
          <w:rStyle w:val="12"/>
          <w:rFonts w:ascii="宋体" w:hAnsi="宋体"/>
          <w:sz w:val="24"/>
          <w:szCs w:val="24"/>
        </w:rPr>
        <w:t>其他方便食品的发证检验、定期监督检验和出厂检验项目按下表中列出的检验项目进行。出厂检验项目中注有“*”标记的，企业应当每年检验2次。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其他方便食品质量检验项目表</w:t>
      </w:r>
    </w:p>
    <w:tbl>
      <w:tblPr>
        <w:tblStyle w:val="10"/>
        <w:tblW w:w="8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83"/>
        <w:gridCol w:w="720"/>
        <w:gridCol w:w="720"/>
        <w:gridCol w:w="720"/>
        <w:gridCol w:w="3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检验项目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发证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监督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出厂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感官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净含量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复水性（率）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适用于脱水干燥工艺的主食类产品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酸价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highlight w:val="green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适用于经油煎炸产品、含肉类的产品及含肉类的调味料包部分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检验项目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发证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监督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出厂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过氧化值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highlight w:val="green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适用于经油煎炸产品、含肉类的产品及含肉类的调味料包部分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总砷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highlight w:val="green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highlight w:val="green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highlight w:val="green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适用于面制品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黄曲霉毒素B1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highlight w:val="green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甜味剂：糖精钠、甜蜜素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highlight w:val="green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根据产品情况选择测定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着色剂：胭脂红、苋菜红、柠檬黄、日落黄、亮蓝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  <w:highlight w:val="green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根据产品颜色选择测定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抗氧化剂： BHA、BHT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适用于方便米饭、方便粥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菌落总数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大肠菌群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沙门氏菌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志贺氏菌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金黄色葡萄球菌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霉菌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适用于冲调类产品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标签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企业标准规定的其他项目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Style w:val="12"/>
                <w:rFonts w:ascii="宋体" w:hAnsi="宋体"/>
                <w:sz w:val="24"/>
                <w:szCs w:val="24"/>
              </w:rPr>
              <w:t>*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注：检验项目的标准要求依照相应的国家标准、行业标准和企业标准执行。</w:t>
      </w: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3" w:name="_Toc32925366"/>
      <w:r>
        <w:rPr>
          <w:rFonts w:ascii="宋体" w:hAnsi="宋体"/>
          <w:sz w:val="24"/>
          <w:szCs w:val="24"/>
        </w:rPr>
        <w:t>八、抽样方法</w:t>
      </w:r>
      <w:bookmarkEnd w:id="13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　　</w:t>
      </w:r>
      <w:r>
        <w:rPr>
          <w:rFonts w:ascii="宋体" w:hAnsi="宋体"/>
          <w:sz w:val="24"/>
          <w:szCs w:val="24"/>
        </w:rPr>
        <w:t>发证检验抽样应当按照下列规定进行。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/>
          <w:b/>
          <w:color w:val="333333"/>
          <w:sz w:val="24"/>
          <w:szCs w:val="24"/>
        </w:rPr>
        <w:t>　　</w:t>
      </w:r>
      <w:r>
        <w:rPr>
          <w:rFonts w:ascii="宋体" w:hAnsi="宋体"/>
          <w:color w:val="333333"/>
          <w:sz w:val="24"/>
          <w:szCs w:val="24"/>
        </w:rPr>
        <w:t>根据企业申请取证产品的品种，在企业的成品库内随机抽取1种产品进行发证检验。主食类和冲调类分别抽样。抽取产量最大的主导产品。所抽样品须为同一批次保质期内的产品，抽样基数不少于</w:t>
      </w:r>
      <w:r>
        <w:rPr>
          <w:rFonts w:ascii="宋体" w:hAnsi="宋体"/>
          <w:color w:val="000000"/>
          <w:sz w:val="24"/>
          <w:szCs w:val="24"/>
        </w:rPr>
        <w:t>200</w:t>
      </w:r>
      <w:r>
        <w:rPr>
          <w:rFonts w:ascii="宋体" w:hAnsi="宋体"/>
          <w:color w:val="333333"/>
          <w:sz w:val="24"/>
          <w:szCs w:val="24"/>
        </w:rPr>
        <w:t>个</w:t>
      </w:r>
      <w:r>
        <w:rPr>
          <w:rFonts w:ascii="宋体" w:hAnsi="宋体"/>
          <w:color w:val="000000"/>
          <w:sz w:val="24"/>
          <w:szCs w:val="24"/>
        </w:rPr>
        <w:t>销售</w:t>
      </w:r>
      <w:r>
        <w:rPr>
          <w:rFonts w:ascii="宋体" w:hAnsi="宋体"/>
          <w:color w:val="333333"/>
          <w:sz w:val="24"/>
          <w:szCs w:val="24"/>
        </w:rPr>
        <w:t>包装，随机抽样至少20个</w:t>
      </w:r>
      <w:r>
        <w:rPr>
          <w:rFonts w:ascii="宋体" w:hAnsi="宋体"/>
          <w:color w:val="000000"/>
          <w:sz w:val="24"/>
          <w:szCs w:val="24"/>
        </w:rPr>
        <w:t>销售</w:t>
      </w:r>
      <w:r>
        <w:rPr>
          <w:rFonts w:ascii="宋体" w:hAnsi="宋体"/>
          <w:color w:val="333333"/>
          <w:sz w:val="24"/>
          <w:szCs w:val="24"/>
        </w:rPr>
        <w:t>包装(不少于2kg)。样品分成2份，送检验机构，1份用于检验，1份备查。样品确认无误后，由核查组抽样人员与被抽样单位在抽样单上签字、盖章，当场封存样品，并加贴封条。封条上应当有抽样人员签名、抽样单位盖章及封样日期。</w:t>
      </w: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4" w:name="_Toc32925367"/>
      <w:r>
        <w:rPr>
          <w:rFonts w:ascii="宋体" w:hAnsi="宋体"/>
          <w:sz w:val="24"/>
          <w:szCs w:val="24"/>
        </w:rPr>
        <w:t>九、其他要求</w:t>
      </w:r>
      <w:bookmarkEnd w:id="14"/>
    </w:p>
    <w:p>
      <w:pPr>
        <w:adjustRightInd w:val="0"/>
        <w:snapToGrid w:val="0"/>
        <w:spacing w:line="360" w:lineRule="auto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　　1．纯麦片类产品允许分装。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　　2．主食类方便食品生产企业如自行加工调味料包，其调味料包应满足相应类别产品生产许可证审查细则的相关要求。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楷体" w:hAnsi="楷体" w:eastAsia="楷体" w:cs="楷体"/>
        <w:sz w:val="18"/>
        <w:szCs w:val="18"/>
      </w:rPr>
    </w:pPr>
    <w:r>
      <w:rPr>
        <w:rFonts w:hint="eastAsia" w:ascii="楷体" w:hAnsi="楷体" w:eastAsia="楷体" w:cs="楷体"/>
        <w:szCs w:val="21"/>
      </w:rPr>
      <w:t>技术服务范围：食品工厂设计 食品标签审核 食品生产许可办理  食品企业培训 企标备案</w:t>
    </w:r>
  </w:p>
  <w:p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5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5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5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5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  <w:rPr>
        <w:rFonts w:ascii="楷体" w:hAnsi="楷体" w:eastAsia="楷体" w:cs="楷体"/>
        <w:szCs w:val="21"/>
      </w:rPr>
    </w:pPr>
    <w:r>
      <w:rPr>
        <w:sz w:val="18"/>
        <w:szCs w:val="18"/>
      </w:rPr>
      <w:drawing>
        <wp:inline distT="0" distB="0" distL="0" distR="0">
          <wp:extent cx="438150" cy="438150"/>
          <wp:effectExtent l="0" t="0" r="0" b="0"/>
          <wp:docPr id="1" name="图片 1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Cs w:val="21"/>
      </w:rPr>
      <w:tab/>
    </w:r>
    <w:r>
      <w:rPr>
        <w:rFonts w:hint="eastAsia" w:ascii="楷体" w:hAnsi="楷体" w:eastAsia="楷体" w:cs="楷体"/>
        <w:szCs w:val="21"/>
      </w:rPr>
      <w:t xml:space="preserve">      电话：152 01</w:t>
    </w:r>
    <w:r>
      <w:rPr>
        <w:rFonts w:hint="eastAsia" w:ascii="楷体" w:hAnsi="楷体" w:eastAsia="楷体" w:cs="楷体"/>
        <w:szCs w:val="21"/>
        <w:lang w:val="en-US" w:eastAsia="zh-CN"/>
      </w:rPr>
      <w:t>6</w:t>
    </w:r>
    <w:bookmarkStart w:id="15" w:name="_GoBack"/>
    <w:bookmarkEnd w:id="15"/>
    <w:r>
      <w:rPr>
        <w:rFonts w:hint="eastAsia" w:ascii="楷体" w:hAnsi="楷体" w:eastAsia="楷体" w:cs="楷体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6F746F"/>
    <w:rsid w:val="00000651"/>
    <w:rsid w:val="006F746F"/>
    <w:rsid w:val="00C541A6"/>
    <w:rsid w:val="00CE4A18"/>
    <w:rsid w:val="00CF2725"/>
    <w:rsid w:val="00E94F5E"/>
    <w:rsid w:val="31B9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uiPriority w:val="39"/>
    <w:pPr>
      <w:tabs>
        <w:tab w:val="right" w:leader="dot" w:pos="8296"/>
      </w:tabs>
    </w:pPr>
  </w:style>
  <w:style w:type="paragraph" w:styleId="9">
    <w:name w:val="toc 2"/>
    <w:basedOn w:val="1"/>
    <w:next w:val="1"/>
    <w:autoRedefine/>
    <w:unhideWhenUsed/>
    <w:uiPriority w:val="39"/>
    <w:pPr>
      <w:tabs>
        <w:tab w:val="right" w:leader="dot" w:pos="8296"/>
      </w:tabs>
      <w:spacing w:line="276" w:lineRule="auto"/>
      <w:ind w:left="420" w:leftChars="200"/>
    </w:p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customStyle="1" w:styleId="14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19">
    <w:name w:val="页眉 Char"/>
    <w:basedOn w:val="11"/>
    <w:link w:val="7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996D4-FDC8-4DA2-8D2E-319523919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2150</Words>
  <Characters>2208</Characters>
  <Lines>24</Lines>
  <Paragraphs>6</Paragraphs>
  <TotalTime>15</TotalTime>
  <ScaleCrop>false</ScaleCrop>
  <LinksUpToDate>false</LinksUpToDate>
  <CharactersWithSpaces>2258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2020-02-18T05:33:00Z</dcterms:created>
  <dc:creator>HH</dc:creator>
  <cp:lastModifiedBy>Terry</cp:lastModifiedBy>
  <dcterms:modified xsi:type="dcterms:W3CDTF">2024-06-14T03:24:36Z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2D4D26C279C44114AABAC817E69DBF91_12</vt:lpwstr>
  </property>
</Properties>
</file>