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重庆关于发布食品生产加工小作坊禁止生产加工食品目录及明细的公告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xml:space="preserve">    根据《重庆市</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"http://news.foodmate.net/tag_1668.html" \o "食品生产相关食品资讯"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食品生产</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加工</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"http://news.foodmate.net/tag_2062.html" \o "小作坊相关食品资讯"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小作坊</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和</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"http://news.foodmate.net/tag_1670.html" \o "食品摊贩相关食品资讯"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食品摊贩</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"http://news.foodmate.net/tag_4604.html" \o "管理相关食品资讯"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管理</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条例》（重庆市人民代表大会常务委员会公告〔2016〕56号）的规定，结合重庆市地方特点，我局制定了《重庆市</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"http://news.foodmate.net/tag_3748.html" \o "食品相关食品资讯"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食品</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"http://news.foodmate.net/tag_4772.html" \o "生产加工相关食品资讯" \t "http://news.foodmate.net/2017/04/_blank"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6"/>
          <w:rFonts w:hint="eastAsia" w:ascii="宋体" w:hAnsi="宋体" w:eastAsia="宋体" w:cs="宋体"/>
          <w:i w:val="0"/>
          <w:iCs w:val="0"/>
          <w:caps w:val="0"/>
          <w:color w:val="333333"/>
          <w:spacing w:val="0"/>
          <w:sz w:val="24"/>
          <w:szCs w:val="24"/>
          <w:u w:val="none"/>
          <w:bdr w:val="none" w:color="auto" w:sz="0" w:space="0"/>
          <w:shd w:val="clear" w:fill="FFFFFF"/>
        </w:rPr>
        <w:t>生产加工</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小作坊禁止生产加工食品目录及明细》，经市人民政府同意，现予以发布，具体名单如下：</w:t>
      </w:r>
    </w:p>
    <w:tbl>
      <w:tblPr>
        <w:tblW w:w="4999"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40"/>
        <w:gridCol w:w="5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产品类别</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禁止生产的品种明细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食用油、油脂及其制品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食用植物油(不含压榨植物油)、食用油脂制品、食用动物油脂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调味品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酱油、食醋、味精、酱类、液体调味料、半固态(酱)调味料、食用调味油、水产调味料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肉制品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发酵肉制品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乳制品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液体乳、乳粉、其他乳制品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饮料</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瓶(桶)装饮用水、碳酸饮料(汽水)、茶(类)饮料、果蔬汁类及其饮料、蛋白饮料、固体饮料、其他饮料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方便食品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方便面、其他方便食品、调味面制品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罐头</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畜禽水产罐头、果蔬罐头、其他罐头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冷冻饮品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冰淇淋、雪糕、雪泥、冰棍、食用冰、甜味冰、其他冷冻饮品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糖果制品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巧克力及巧克力制品、代可可脂巧克力及代可可脂巧克力制品、果冻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酒类</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白酒（不含粮食酿造白酒）、葡萄酒及果酒、啤酒、黄酒、食用酒精、其他酒（不含低酒精度米酒）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食糖</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白砂糖、绵白糖、赤砂糖、冰糖、方糖、冰片糖、其他糖（不含红糖）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水产制品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生食水产品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保健食品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保健食品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特殊医学用途配方食品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特殊医学用途配方食品（全营养配方食品、特定全营养配方食品）、特殊医学用途婴儿配方食品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婴幼儿配方食品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婴儿配方乳粉、较大婴儿配方乳粉、幼儿配方乳粉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1404"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特殊膳食食品</w:t>
            </w:r>
          </w:p>
        </w:tc>
        <w:tc>
          <w:tcPr>
            <w:tcW w:w="3595" w:type="pct"/>
            <w:shd w:val="cle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bdr w:val="none" w:color="auto" w:sz="0" w:space="0"/>
              </w:rPr>
              <w:t>婴幼儿谷类辅助食品、婴幼儿罐装辅助食品、其他特殊膳食食品</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该目录及明细自2017年5月1日起施行。</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br w:type="textWrapping"/>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xml:space="preserve">                               </w:t>
      </w:r>
      <w:bookmarkStart w:id="0" w:name="_GoBack"/>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xml:space="preserve"> 特此公告。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重庆市食品药品监督管理局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Autospacing="0" w:afterAutospacing="0" w:line="360" w:lineRule="auto"/>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2017年4月25日</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2UyNTBhZWI0OGM1ZmI2NDIwNmFiOTE4NTkwZDUifQ=="/>
  </w:docVars>
  <w:rsids>
    <w:rsidRoot w:val="452D1D8D"/>
    <w:rsid w:val="452D1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2023-06-02T06:54:00Z</dcterms:created>
  <dc:creator>老刘</dc:creator>
  <cp:lastModifiedBy>老刘</cp:lastModifiedBy>
  <dcterms:modified xsi:type="dcterms:W3CDTF">2023-06-02T06:56:08Z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90950CE89A864137A046825BD1FCEACE_11</vt:lpwstr>
  </property>
</Properties>
</file>