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仿宋" w:hAnsi="仿宋" w:eastAsia="仿宋" w:cs="仿宋"/>
          <w:b/>
          <w:bCs/>
          <w:i w:val="0"/>
          <w:iCs w:val="0"/>
          <w:caps w:val="0"/>
          <w:color w:val="000000"/>
          <w:spacing w:val="0"/>
          <w:sz w:val="28"/>
          <w:szCs w:val="28"/>
          <w:bdr w:val="none" w:color="auto" w:sz="0" w:space="0"/>
          <w:shd w:val="clear" w:fill="FFFFFF"/>
        </w:rPr>
        <w:t>2007</w:t>
      </w:r>
      <w:r>
        <w:rPr>
          <w:rFonts w:hint="eastAsia" w:ascii="仿宋" w:hAnsi="仿宋" w:eastAsia="仿宋" w:cs="仿宋"/>
          <w:b/>
          <w:bCs/>
          <w:i w:val="0"/>
          <w:iCs w:val="0"/>
          <w:caps w:val="0"/>
          <w:color w:val="000000"/>
          <w:spacing w:val="0"/>
          <w:sz w:val="28"/>
          <w:szCs w:val="28"/>
          <w:bdr w:val="none" w:color="auto" w:sz="0" w:space="0"/>
          <w:shd w:val="clear" w:fill="FFFFFF"/>
        </w:rPr>
        <w:t>年第191号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关于批准对湘西猕猴桃实施地理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标志产品保护的公告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56"/>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56"/>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根据《地理标志产品保护规定》，国家质检总局组织了对湘西猕猴桃地理标志产品保护申请的审查。经审查合格，现批准自即日起对湘西猕猴桃实施地理标志产品保护。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56"/>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湘西猕猴桃地理标志产品保护范围以湖南省湘西土家族苗族自治州人民政府《关于划定“湘西猕猴桃”地理标志产品地域保护范围的函》（州政函〔2007〕85号）提出的范围为准，为湖南省湘西自治州吉首市、凤凰市、永顺县、保靖县、花垣县、古丈县、龙山县、泸溪县等8个县市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b/>
          <w:bCs/>
          <w:i w:val="0"/>
          <w:iCs w:val="0"/>
          <w:caps w:val="0"/>
          <w:color w:val="000000"/>
          <w:spacing w:val="0"/>
          <w:sz w:val="28"/>
          <w:szCs w:val="28"/>
          <w:bdr w:val="none" w:color="auto" w:sz="0" w:space="0"/>
          <w:shd w:val="clear" w:fill="FFFFFF"/>
        </w:rPr>
        <w:t>二、质量技术要求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米良系列、红阳。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土壤pH值6.0至6.8，砂质土壤，土层厚度≥80cm，有机质含量≥1.5%，地下水位80cm以下，土壤质地良好，疏松肥沃。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1. 种苗繁育：用同种类成熟猕猴桃果实的种子，繁殖的实生苗作为砧木，从纯正无检疫性病虫害的健壮结果母株上采集接穗，进行嫁接繁殖。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2. 栽植密度：米良系列每公顷栽植株数≤1080株，雌雄株之比≤8:1；红阳每公顷栽植株数≤1600株，雌雄株之比≤20:1。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3. 整形修剪：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（1）整形:采用T型架或大棚架，单主干上架，在主干接近20至30cm架面部位选留2个主蔓，分别向两边伸展。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（2）修剪:冬季修剪与夏季修剪相结合。冬季修剪每树选留结果母枝20至24个。夏季修剪主要进行抹芽、疏枝、绑蔓、摘心，叶果比（5-6）:1。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4. 施肥：以基肥为主，追肥为辅，每公顷每年施用有机肥≥37.5吨，肥料中氮、磷、钾比例为1:0.7-0.8:0.8-0.9。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5. 疏果：在盛花后10天开始疏果，疏去授粉受精不良的畸形果、扁平果、伤果、小果、病虫危害果等，保留果梗粗壮、发育良好的正常果。每公顷控制30吨产量。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（四）采收。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鲜食果可溶性固形物含量≥7.5%时采收；贮藏果可溶性固形物含量在6.2至6.5%时，方可采收。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（五）贮藏。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果实采收分检之后，置于专用贮果箱内，经24小时预冷之后，及时入库，使库内温度稳定在0℃至1℃，当库存果硬度（去皮）降至4至6kg/cm</w:t>
      </w:r>
      <w:r>
        <w:rPr>
          <w:rFonts w:hint="eastAsia" w:ascii="仿宋" w:hAnsi="仿宋" w:eastAsia="仿宋" w:cs="仿宋"/>
          <w:i w:val="0"/>
          <w:iCs w:val="0"/>
          <w:caps w:val="0"/>
          <w:color w:val="000000"/>
          <w:spacing w:val="0"/>
          <w:sz w:val="16"/>
          <w:szCs w:val="16"/>
          <w:bdr w:val="none" w:color="auto" w:sz="0" w:space="0"/>
          <w:shd w:val="clear" w:fill="FFFFFF"/>
          <w:vertAlign w:val="baseline"/>
        </w:rPr>
        <w:t>2</w:t>
      </w:r>
      <w:r>
        <w:rPr>
          <w:rFonts w:hint="eastAsia" w:ascii="仿宋" w:hAnsi="仿宋" w:eastAsia="仿宋" w:cs="仿宋"/>
          <w:i w:val="0"/>
          <w:iCs w:val="0"/>
          <w:caps w:val="0"/>
          <w:color w:val="000000"/>
          <w:spacing w:val="0"/>
          <w:sz w:val="28"/>
          <w:szCs w:val="28"/>
          <w:bdr w:val="none" w:color="auto" w:sz="0" w:space="0"/>
          <w:shd w:val="clear" w:fill="FFFFFF"/>
        </w:rPr>
        <w:t>时，应及时出库。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1. 感官特色：如表1、表2所示。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表1 米良系列猕猴桃感官指标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2095"/>
        <w:gridCol w:w="750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84"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项</w:t>
            </w:r>
            <w:r>
              <w:rPr>
                <w:rFonts w:hint="eastAsia" w:ascii="宋体" w:hAnsi="宋体" w:eastAsia="宋体" w:cs="宋体"/>
                <w:color w:val="000000"/>
                <w:sz w:val="28"/>
                <w:szCs w:val="28"/>
                <w:bdr w:val="none" w:color="auto" w:sz="0" w:space="0"/>
              </w:rPr>
              <w:t>  </w:t>
            </w:r>
            <w:r>
              <w:rPr>
                <w:rFonts w:hint="eastAsia" w:ascii="仿宋" w:hAnsi="仿宋" w:eastAsia="仿宋" w:cs="仿宋"/>
                <w:color w:val="5B5B5B"/>
                <w:sz w:val="28"/>
                <w:szCs w:val="28"/>
                <w:bdr w:val="none" w:color="auto" w:sz="0" w:space="0"/>
              </w:rPr>
              <w:t> </w:t>
            </w:r>
            <w:r>
              <w:rPr>
                <w:rFonts w:hint="eastAsia" w:ascii="仿宋" w:hAnsi="仿宋" w:eastAsia="仿宋" w:cs="仿宋"/>
                <w:color w:val="000000"/>
                <w:sz w:val="28"/>
                <w:szCs w:val="28"/>
                <w:bdr w:val="none" w:color="auto" w:sz="0" w:space="0"/>
              </w:rPr>
              <w:t>目</w:t>
            </w:r>
          </w:p>
        </w:tc>
        <w:tc>
          <w:tcPr>
            <w:tcW w:w="58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指</w:t>
            </w:r>
            <w:r>
              <w:rPr>
                <w:rFonts w:hint="eastAsia" w:ascii="宋体" w:hAnsi="宋体" w:eastAsia="宋体" w:cs="宋体"/>
                <w:color w:val="000000"/>
                <w:sz w:val="28"/>
                <w:szCs w:val="28"/>
                <w:bdr w:val="none" w:color="auto" w:sz="0" w:space="0"/>
              </w:rPr>
              <w:t>       </w:t>
            </w:r>
            <w:r>
              <w:rPr>
                <w:rFonts w:hint="eastAsia" w:ascii="仿宋" w:hAnsi="仿宋" w:eastAsia="仿宋" w:cs="仿宋"/>
                <w:color w:val="5B5B5B"/>
                <w:sz w:val="28"/>
                <w:szCs w:val="28"/>
                <w:bdr w:val="none" w:color="auto" w:sz="0" w:space="0"/>
              </w:rPr>
              <w:t> </w:t>
            </w:r>
            <w:r>
              <w:rPr>
                <w:rFonts w:hint="eastAsia" w:ascii="仿宋" w:hAnsi="仿宋" w:eastAsia="仿宋" w:cs="仿宋"/>
                <w:color w:val="000000"/>
                <w:sz w:val="28"/>
                <w:szCs w:val="28"/>
                <w:bdr w:val="none" w:color="auto" w:sz="0" w:space="0"/>
              </w:rPr>
              <w:t>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9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外形</w:t>
            </w:r>
          </w:p>
        </w:tc>
        <w:tc>
          <w:tcPr>
            <w:tcW w:w="58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果实美观整齐，果形呈长圆柱形，果皮棕褐色，被长茸毛。</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9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果重</w:t>
            </w:r>
          </w:p>
        </w:tc>
        <w:tc>
          <w:tcPr>
            <w:tcW w:w="58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80-120克。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果肉色泽</w:t>
            </w:r>
          </w:p>
        </w:tc>
        <w:tc>
          <w:tcPr>
            <w:tcW w:w="58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果心淡黄色，果肉黄绿色。</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口感</w:t>
            </w:r>
          </w:p>
        </w:tc>
        <w:tc>
          <w:tcPr>
            <w:tcW w:w="58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汁液多，具清香，酸甜适口，风味纯正，具米良系列猕猴桃独有特征。</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表2 红阳猕猴桃感官指标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2179"/>
        <w:gridCol w:w="742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272"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项</w:t>
            </w:r>
            <w:r>
              <w:rPr>
                <w:rFonts w:hint="eastAsia" w:ascii="宋体" w:hAnsi="宋体" w:eastAsia="宋体" w:cs="宋体"/>
                <w:color w:val="000000"/>
                <w:sz w:val="28"/>
                <w:szCs w:val="28"/>
                <w:bdr w:val="none" w:color="auto" w:sz="0" w:space="0"/>
              </w:rPr>
              <w:t>  </w:t>
            </w:r>
            <w:r>
              <w:rPr>
                <w:rFonts w:hint="eastAsia" w:ascii="仿宋" w:hAnsi="仿宋" w:eastAsia="仿宋" w:cs="仿宋"/>
                <w:color w:val="5B5B5B"/>
                <w:sz w:val="28"/>
                <w:szCs w:val="28"/>
                <w:bdr w:val="none" w:color="auto" w:sz="0" w:space="0"/>
              </w:rPr>
              <w:t> </w:t>
            </w:r>
            <w:r>
              <w:rPr>
                <w:rFonts w:hint="eastAsia" w:ascii="仿宋" w:hAnsi="仿宋" w:eastAsia="仿宋" w:cs="仿宋"/>
                <w:color w:val="000000"/>
                <w:sz w:val="28"/>
                <w:szCs w:val="28"/>
                <w:bdr w:val="none" w:color="auto" w:sz="0" w:space="0"/>
              </w:rPr>
              <w:t>目</w:t>
            </w:r>
          </w:p>
        </w:tc>
        <w:tc>
          <w:tcPr>
            <w:tcW w:w="5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指</w:t>
            </w:r>
            <w:r>
              <w:rPr>
                <w:rFonts w:hint="eastAsia" w:ascii="宋体" w:hAnsi="宋体" w:eastAsia="宋体" w:cs="宋体"/>
                <w:color w:val="000000"/>
                <w:sz w:val="28"/>
                <w:szCs w:val="28"/>
                <w:bdr w:val="none" w:color="auto" w:sz="0" w:space="0"/>
              </w:rPr>
              <w:t>       </w:t>
            </w:r>
            <w:r>
              <w:rPr>
                <w:rFonts w:hint="eastAsia" w:ascii="仿宋" w:hAnsi="仿宋" w:eastAsia="仿宋" w:cs="仿宋"/>
                <w:color w:val="5B5B5B"/>
                <w:sz w:val="28"/>
                <w:szCs w:val="28"/>
                <w:bdr w:val="none" w:color="auto" w:sz="0" w:space="0"/>
              </w:rPr>
              <w:t> </w:t>
            </w:r>
            <w:r>
              <w:rPr>
                <w:rFonts w:hint="eastAsia" w:ascii="仿宋" w:hAnsi="仿宋" w:eastAsia="仿宋" w:cs="仿宋"/>
                <w:color w:val="000000"/>
                <w:sz w:val="28"/>
                <w:szCs w:val="28"/>
                <w:bdr w:val="none" w:color="auto" w:sz="0" w:space="0"/>
              </w:rPr>
              <w:t>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2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外形</w:t>
            </w:r>
          </w:p>
        </w:tc>
        <w:tc>
          <w:tcPr>
            <w:tcW w:w="5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果实美观整齐，果形呈短圆柱形，果皮褐绿色。</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2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果重</w:t>
            </w:r>
          </w:p>
        </w:tc>
        <w:tc>
          <w:tcPr>
            <w:tcW w:w="5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50-100克。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果肉色泽</w:t>
            </w:r>
          </w:p>
        </w:tc>
        <w:tc>
          <w:tcPr>
            <w:tcW w:w="5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果心鲜红色，果肉黄色。</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口感</w:t>
            </w:r>
          </w:p>
        </w:tc>
        <w:tc>
          <w:tcPr>
            <w:tcW w:w="55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肉质红嫩，甜度适中，风味纯正，具红阳猕猴桃独有特征。</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2. 理化指标：如表3、表4所示。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表3 米良系列猕猴桃理化指标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4800"/>
        <w:gridCol w:w="480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3408"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项</w:t>
            </w:r>
            <w:r>
              <w:rPr>
                <w:rFonts w:hint="eastAsia" w:ascii="宋体" w:hAnsi="宋体" w:eastAsia="宋体" w:cs="宋体"/>
                <w:color w:val="000000"/>
                <w:sz w:val="28"/>
                <w:szCs w:val="28"/>
                <w:bdr w:val="none" w:color="auto" w:sz="0" w:space="0"/>
              </w:rPr>
              <w:t>     </w:t>
            </w:r>
            <w:r>
              <w:rPr>
                <w:rFonts w:hint="eastAsia" w:ascii="仿宋" w:hAnsi="仿宋" w:eastAsia="仿宋" w:cs="仿宋"/>
                <w:color w:val="5B5B5B"/>
                <w:sz w:val="28"/>
                <w:szCs w:val="28"/>
                <w:bdr w:val="none" w:color="auto" w:sz="0" w:space="0"/>
              </w:rPr>
              <w:t> </w:t>
            </w:r>
            <w:r>
              <w:rPr>
                <w:rFonts w:hint="eastAsia" w:ascii="仿宋" w:hAnsi="仿宋" w:eastAsia="仿宋" w:cs="仿宋"/>
                <w:color w:val="000000"/>
                <w:sz w:val="28"/>
                <w:szCs w:val="28"/>
                <w:bdr w:val="none" w:color="auto" w:sz="0" w:space="0"/>
              </w:rPr>
              <w:t>目</w:t>
            </w:r>
          </w:p>
        </w:tc>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指</w:t>
            </w:r>
            <w:r>
              <w:rPr>
                <w:rFonts w:hint="eastAsia" w:ascii="宋体" w:hAnsi="宋体" w:eastAsia="宋体" w:cs="宋体"/>
                <w:color w:val="000000"/>
                <w:sz w:val="28"/>
                <w:szCs w:val="28"/>
                <w:bdr w:val="none" w:color="auto" w:sz="0" w:space="0"/>
              </w:rPr>
              <w:t>     </w:t>
            </w:r>
            <w:r>
              <w:rPr>
                <w:rFonts w:hint="eastAsia" w:ascii="仿宋" w:hAnsi="仿宋" w:eastAsia="仿宋" w:cs="仿宋"/>
                <w:color w:val="5B5B5B"/>
                <w:sz w:val="28"/>
                <w:szCs w:val="28"/>
                <w:bdr w:val="none" w:color="auto" w:sz="0" w:space="0"/>
              </w:rPr>
              <w:t> </w:t>
            </w:r>
            <w:r>
              <w:rPr>
                <w:rFonts w:hint="eastAsia" w:ascii="仿宋" w:hAnsi="仿宋" w:eastAsia="仿宋" w:cs="仿宋"/>
                <w:color w:val="000000"/>
                <w:sz w:val="28"/>
                <w:szCs w:val="28"/>
                <w:bdr w:val="none" w:color="auto" w:sz="0" w:space="0"/>
              </w:rPr>
              <w:t>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可溶性固形物（%）</w:t>
            </w:r>
          </w:p>
        </w:tc>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有机酸（%）</w:t>
            </w:r>
          </w:p>
        </w:tc>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1.0-1.3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维生素C（mg/100g）</w:t>
            </w:r>
          </w:p>
        </w:tc>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155-207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硒（ug/100g）</w:t>
            </w:r>
          </w:p>
        </w:tc>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0.9-1.3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膳食纤维（g/100g）</w:t>
            </w:r>
          </w:p>
        </w:tc>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≥2.5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表4 红阳猕猴桃理化指标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4800"/>
        <w:gridCol w:w="480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3408"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项</w:t>
            </w:r>
            <w:r>
              <w:rPr>
                <w:rFonts w:hint="eastAsia" w:ascii="宋体" w:hAnsi="宋体" w:eastAsia="宋体" w:cs="宋体"/>
                <w:color w:val="000000"/>
                <w:sz w:val="28"/>
                <w:szCs w:val="28"/>
                <w:bdr w:val="none" w:color="auto" w:sz="0" w:space="0"/>
              </w:rPr>
              <w:t>     </w:t>
            </w:r>
            <w:r>
              <w:rPr>
                <w:rFonts w:hint="eastAsia" w:ascii="仿宋" w:hAnsi="仿宋" w:eastAsia="仿宋" w:cs="仿宋"/>
                <w:color w:val="5B5B5B"/>
                <w:sz w:val="28"/>
                <w:szCs w:val="28"/>
                <w:bdr w:val="none" w:color="auto" w:sz="0" w:space="0"/>
              </w:rPr>
              <w:t> </w:t>
            </w:r>
            <w:r>
              <w:rPr>
                <w:rFonts w:hint="eastAsia" w:ascii="仿宋" w:hAnsi="仿宋" w:eastAsia="仿宋" w:cs="仿宋"/>
                <w:color w:val="000000"/>
                <w:sz w:val="28"/>
                <w:szCs w:val="28"/>
                <w:bdr w:val="none" w:color="auto" w:sz="0" w:space="0"/>
              </w:rPr>
              <w:t>目</w:t>
            </w:r>
          </w:p>
        </w:tc>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指</w:t>
            </w:r>
            <w:r>
              <w:rPr>
                <w:rFonts w:hint="eastAsia" w:ascii="宋体" w:hAnsi="宋体" w:eastAsia="宋体" w:cs="宋体"/>
                <w:color w:val="000000"/>
                <w:sz w:val="28"/>
                <w:szCs w:val="28"/>
                <w:bdr w:val="none" w:color="auto" w:sz="0" w:space="0"/>
              </w:rPr>
              <w:t>     </w:t>
            </w:r>
            <w:r>
              <w:rPr>
                <w:rFonts w:hint="eastAsia" w:ascii="仿宋" w:hAnsi="仿宋" w:eastAsia="仿宋" w:cs="仿宋"/>
                <w:color w:val="5B5B5B"/>
                <w:sz w:val="28"/>
                <w:szCs w:val="28"/>
                <w:bdr w:val="none" w:color="auto" w:sz="0" w:space="0"/>
              </w:rPr>
              <w:t> </w:t>
            </w:r>
            <w:r>
              <w:rPr>
                <w:rFonts w:hint="eastAsia" w:ascii="仿宋" w:hAnsi="仿宋" w:eastAsia="仿宋" w:cs="仿宋"/>
                <w:color w:val="000000"/>
                <w:sz w:val="28"/>
                <w:szCs w:val="28"/>
                <w:bdr w:val="none" w:color="auto" w:sz="0" w:space="0"/>
              </w:rPr>
              <w:t>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可溶性固形物（%）</w:t>
            </w:r>
          </w:p>
        </w:tc>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jc w:val="center"/>
        </w:trPr>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有机酸（%）</w:t>
            </w:r>
          </w:p>
        </w:tc>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0.45-0.65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维生素C（mg/100g）</w:t>
            </w:r>
          </w:p>
        </w:tc>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110-155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硒（ug/100g）</w:t>
            </w:r>
          </w:p>
        </w:tc>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0.9-1.3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left"/>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膳食纤维（g/100g）</w:t>
            </w:r>
          </w:p>
        </w:tc>
        <w:tc>
          <w:tcPr>
            <w:tcW w:w="34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
              <w:jc w:val="center"/>
              <w:rPr>
                <w:rFonts w:hint="eastAsia" w:ascii="宋体" w:hAnsi="宋体" w:eastAsia="宋体" w:cs="宋体"/>
                <w:color w:val="5B5B5B"/>
                <w:sz w:val="16"/>
                <w:szCs w:val="16"/>
              </w:rPr>
            </w:pPr>
            <w:r>
              <w:rPr>
                <w:rFonts w:hint="eastAsia" w:ascii="仿宋" w:hAnsi="仿宋" w:eastAsia="仿宋" w:cs="仿宋"/>
                <w:color w:val="000000"/>
                <w:sz w:val="28"/>
                <w:szCs w:val="28"/>
                <w:bdr w:val="none" w:color="auto" w:sz="0" w:space="0"/>
              </w:rPr>
              <w:t>≥2.0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20"/>
        <w:jc w:val="center"/>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注:表1、表2、表3、表4中的项目为已达到软化后熟的果实。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b/>
          <w:bCs/>
          <w:i w:val="0"/>
          <w:iCs w:val="0"/>
          <w:caps w:val="0"/>
          <w:color w:val="000000"/>
          <w:spacing w:val="0"/>
          <w:sz w:val="28"/>
          <w:szCs w:val="28"/>
          <w:bdr w:val="none" w:color="auto" w:sz="0" w:space="0"/>
          <w:shd w:val="clear" w:fill="FFFFFF"/>
        </w:rPr>
        <w:t>三、专用标志使用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湘西猕猴桃地理标志产品保护范围内的生产者，可向湖南省湘西土家族苗族自治州质量技术监督局提出使用“地理标志产品专用标志”的申请，由国家质检总局公告批准。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自本公告发布之日起，各地质检部门开始对湘西猕猴桃实施地理标志产品保护措施。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center"/>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95"/>
        <w:jc w:val="right"/>
        <w:rPr>
          <w:rFonts w:hint="eastAsia" w:ascii="宋体" w:hAnsi="宋体" w:eastAsia="宋体" w:cs="宋体"/>
          <w:i w:val="0"/>
          <w:iCs w:val="0"/>
          <w:caps w:val="0"/>
          <w:color w:val="5B5B5B"/>
          <w:spacing w:val="0"/>
          <w:sz w:val="16"/>
          <w:szCs w:val="16"/>
        </w:rPr>
      </w:pPr>
      <w:r>
        <w:rPr>
          <w:rFonts w:hint="eastAsia" w:ascii="仿宋" w:hAnsi="仿宋" w:eastAsia="仿宋" w:cs="仿宋"/>
          <w:i w:val="0"/>
          <w:iCs w:val="0"/>
          <w:caps w:val="0"/>
          <w:color w:val="000000"/>
          <w:spacing w:val="0"/>
          <w:sz w:val="28"/>
          <w:szCs w:val="28"/>
          <w:bdr w:val="none" w:color="auto" w:sz="0" w:space="0"/>
          <w:shd w:val="clear" w:fill="FFFFFF"/>
        </w:rPr>
        <w:t>二〇〇七年十二月十三日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8D7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2022-04-05T16:45:55Z</dcterms:created>
  <dc:creator>gu'yin'yu</dc:creator>
  <cp:lastModifiedBy>无视我</cp:lastModifiedBy>
  <dcterms:modified xsi:type="dcterms:W3CDTF">2022-04-05T16:45:57Z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C7E53D8906A64ECFBF1513D2906B250A</vt:lpwstr>
  </property>
</Properties>
</file>