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2C99C" w14:textId="7A6AA5DE" w:rsidR="006F27F6" w:rsidRDefault="006F27F6" w:rsidP="006F27F6">
      <w:pPr>
        <w:pStyle w:val="ztxilan03"/>
        <w:numPr>
          <w:ilvl w:val="0"/>
          <w:numId w:val="1"/>
        </w:numPr>
        <w:shd w:val="clear" w:color="auto" w:fill="FFFFFF"/>
        <w:rPr>
          <w:rFonts w:hint="eastAsia"/>
        </w:rPr>
      </w:pPr>
      <w:r>
        <w:rPr>
          <w:rFonts w:hint="eastAsia"/>
        </w:rPr>
        <w:t>保健食品注册与</w:t>
      </w:r>
      <w:bookmarkStart w:id="0" w:name="_GoBack"/>
      <w:bookmarkEnd w:id="0"/>
      <w:r>
        <w:rPr>
          <w:rFonts w:hint="eastAsia"/>
        </w:rPr>
        <w:t>备案管理办法</w:t>
      </w:r>
    </w:p>
    <w:p w14:paraId="5FED3339" w14:textId="77777777" w:rsidR="006F27F6" w:rsidRDefault="006F27F6" w:rsidP="006F27F6">
      <w:pPr>
        <w:pStyle w:val="a4"/>
        <w:shd w:val="clear" w:color="auto" w:fill="FFFFFF"/>
        <w:spacing w:line="480" w:lineRule="auto"/>
        <w:jc w:val="center"/>
        <w:rPr>
          <w:color w:val="333333"/>
        </w:rPr>
      </w:pPr>
      <w:r>
        <w:rPr>
          <w:rFonts w:hint="eastAsia"/>
          <w:color w:val="333333"/>
        </w:rPr>
        <w:t xml:space="preserve">　　 保健食品注册与备案管理办法</w:t>
      </w:r>
    </w:p>
    <w:p w14:paraId="29D2EB79" w14:textId="77777777" w:rsidR="006F27F6" w:rsidRDefault="006F27F6" w:rsidP="006F27F6">
      <w:pPr>
        <w:pStyle w:val="a4"/>
        <w:shd w:val="clear" w:color="auto" w:fill="FFFFFF"/>
        <w:spacing w:line="480" w:lineRule="auto"/>
        <w:jc w:val="center"/>
        <w:rPr>
          <w:rFonts w:hint="eastAsia"/>
          <w:color w:val="333333"/>
        </w:rPr>
      </w:pPr>
      <w:r>
        <w:rPr>
          <w:rFonts w:hint="eastAsia"/>
          <w:color w:val="333333"/>
        </w:rPr>
        <w:t xml:space="preserve">　　（国家食品药品监督管理总局令  第22号） </w:t>
      </w:r>
    </w:p>
    <w:p w14:paraId="1BA04BAA"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《保健食品注册与备案管理办法》已于2016年2月4日经国家食品药品监督管理总局局务会议审议通过，现予公布，自2016年7月1日起施行。 </w:t>
      </w:r>
    </w:p>
    <w:p w14:paraId="6F836FE7" w14:textId="77777777" w:rsidR="006F27F6" w:rsidRDefault="006F27F6" w:rsidP="006F27F6">
      <w:pPr>
        <w:pStyle w:val="a4"/>
        <w:shd w:val="clear" w:color="auto" w:fill="FFFFFF"/>
        <w:spacing w:line="480" w:lineRule="auto"/>
        <w:jc w:val="right"/>
        <w:rPr>
          <w:rFonts w:hint="eastAsia"/>
          <w:color w:val="333333"/>
        </w:rPr>
      </w:pPr>
      <w:r>
        <w:rPr>
          <w:rFonts w:hint="eastAsia"/>
          <w:color w:val="333333"/>
        </w:rPr>
        <w:t xml:space="preserve">　　局长  毕井泉 </w:t>
      </w:r>
    </w:p>
    <w:p w14:paraId="2068E522" w14:textId="77777777" w:rsidR="006F27F6" w:rsidRDefault="006F27F6" w:rsidP="006F27F6">
      <w:pPr>
        <w:pStyle w:val="a4"/>
        <w:shd w:val="clear" w:color="auto" w:fill="FFFFFF"/>
        <w:spacing w:line="480" w:lineRule="auto"/>
        <w:jc w:val="right"/>
        <w:rPr>
          <w:rFonts w:hint="eastAsia"/>
          <w:color w:val="333333"/>
        </w:rPr>
      </w:pPr>
      <w:r>
        <w:rPr>
          <w:rFonts w:hint="eastAsia"/>
          <w:color w:val="333333"/>
        </w:rPr>
        <w:t xml:space="preserve">　　2016年2月26日 </w:t>
      </w:r>
    </w:p>
    <w:p w14:paraId="732B18B3" w14:textId="77777777" w:rsidR="006F27F6" w:rsidRDefault="006F27F6" w:rsidP="006F27F6">
      <w:pPr>
        <w:pStyle w:val="a4"/>
        <w:shd w:val="clear" w:color="auto" w:fill="FFFFFF"/>
        <w:spacing w:line="480" w:lineRule="auto"/>
        <w:jc w:val="center"/>
        <w:rPr>
          <w:rFonts w:hint="eastAsia"/>
          <w:color w:val="333333"/>
        </w:rPr>
      </w:pPr>
      <w:r>
        <w:rPr>
          <w:rFonts w:hint="eastAsia"/>
          <w:color w:val="333333"/>
        </w:rPr>
        <w:t xml:space="preserve">　　第一章  总  则 </w:t>
      </w:r>
    </w:p>
    <w:p w14:paraId="575F7294"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第一条  为规范保健食品的注册与备案，根据《中华人民共和国食品安全法》，制定本办法。 </w:t>
      </w:r>
    </w:p>
    <w:p w14:paraId="03BB72CF"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第二条  在中华人民共和国境内保健食品的注册与备案及其监督管理适用本办法。 </w:t>
      </w:r>
    </w:p>
    <w:p w14:paraId="493016E9"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第三条  保健食品注册，是指食品药品监督管理部门根据注册申请人申请，依照法定程序、条件和要求，对申请注册的保健食品的安全性、保健功能和质量可控性等相关申请材料进行系统评价和审评，并决定是否准予其注册的审批过程。 </w:t>
      </w:r>
    </w:p>
    <w:p w14:paraId="54EBCCD3"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lastRenderedPageBreak/>
        <w:t xml:space="preserve">　　保健食品备案，是指保健食品生产企业依照法定程序、条件和要求，将表明产品安全性、保健功能和质量可控性的材料提交食品药品监督管理部门进行存档、公开、备查的过程。 </w:t>
      </w:r>
    </w:p>
    <w:p w14:paraId="751D8EDE"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第四条  保健食品的注册与备案及其监督管理应当遵循科学、公开、公正、便民、高效的原则。 </w:t>
      </w:r>
    </w:p>
    <w:p w14:paraId="09FEE126"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第五条  国家食品药品监督管理总局负责保健食品注册管理，以及首次进口的属于补充维生素、矿物质等营养物质的保健食品备案管理，并指导监督省、自治区、直辖市食品药品监督管理部门承担的保健食品注册与备案相关工作。 </w:t>
      </w:r>
    </w:p>
    <w:p w14:paraId="12102415"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省、自治区、直辖市食品药品监督管理部门负责本行政区域内保健食品备案管理，并配合国家食品药品监督管理总局开展保健食品注册现场核查等工作。 </w:t>
      </w:r>
    </w:p>
    <w:p w14:paraId="1044F2BA"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市、县级食品药品监督管理部门负责本行政区域内注册和备案保健食品的监督管理，承担上级食品药品监督管理部门委托的其他工作。 </w:t>
      </w:r>
    </w:p>
    <w:p w14:paraId="40208CC8"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第六条  国家食品药品监督管理总局行政受理机构（以下简称受理机构）负责受理保健食品注册和接收相关进口保健食品备案材料。 </w:t>
      </w:r>
    </w:p>
    <w:p w14:paraId="3BC5ABE0"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省、自治区、直辖市食品药品监督管理部门负责接收相关保健食品备案材料。 </w:t>
      </w:r>
    </w:p>
    <w:p w14:paraId="295F7456"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国家食品药品监督管理总局保健食品审评机构（以下简称审评机构）负责组织保健食品审评，管理审评专家，并依法承担相关保健食品备案工作。 </w:t>
      </w:r>
    </w:p>
    <w:p w14:paraId="4DFED76A"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lastRenderedPageBreak/>
        <w:t xml:space="preserve">　　国家食品药品监督管理总局审核查验机构（以下简称查验机构）负责保健食品注册现场核查工作。 </w:t>
      </w:r>
    </w:p>
    <w:p w14:paraId="449AE4FC"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第七条  保健食品注册申请人或者备案人应当具有相应的专业知识，熟悉保健食品注册管理的法律、法规、规章和技术要求。 </w:t>
      </w:r>
    </w:p>
    <w:p w14:paraId="054F6B78"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保健食品注册申请人或者备案人应当对所提交材料的真实性、完整性、可溯源性负责，并对提交材料的真实性承担法律责任。 </w:t>
      </w:r>
    </w:p>
    <w:p w14:paraId="52DA9EDA"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保健食品注册申请人或者备案人应当协助食品药品监督管理部门开展与注册或者备案相关的现场核查、样品抽样、复核检验和监督管理等工作。 </w:t>
      </w:r>
    </w:p>
    <w:p w14:paraId="280CFD3E"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第八条  省级以上食品药品监督管理部门应当加强信息化建设，提高保健食品注册与备案管理信息化水平，逐步实现电子化注册与备案。 </w:t>
      </w:r>
    </w:p>
    <w:p w14:paraId="155C0A85" w14:textId="77777777" w:rsidR="006F27F6" w:rsidRDefault="006F27F6" w:rsidP="006F27F6">
      <w:pPr>
        <w:pStyle w:val="a4"/>
        <w:shd w:val="clear" w:color="auto" w:fill="FFFFFF"/>
        <w:spacing w:line="480" w:lineRule="auto"/>
        <w:jc w:val="center"/>
        <w:rPr>
          <w:rFonts w:hint="eastAsia"/>
          <w:color w:val="333333"/>
        </w:rPr>
      </w:pPr>
      <w:r>
        <w:rPr>
          <w:rFonts w:hint="eastAsia"/>
          <w:color w:val="333333"/>
        </w:rPr>
        <w:t xml:space="preserve">　　第二章  注  册 </w:t>
      </w:r>
    </w:p>
    <w:p w14:paraId="070C3F60"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第九条  生产和进口下列产品应当申请保健食品注册： </w:t>
      </w:r>
    </w:p>
    <w:p w14:paraId="7BE7FC0B"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（一）使用保健食品原料目录以外原料（以下简称目录外原料）的保健食品； </w:t>
      </w:r>
    </w:p>
    <w:p w14:paraId="0DBD3EB7"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（二）首次进口的保健食品（属于补充维生素、矿物质等营养物质的保健食品除外）。 </w:t>
      </w:r>
    </w:p>
    <w:p w14:paraId="301BAAC1"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首次进口的保健食品，是指非同一国家、同一企业、同一配方申请中国境内上市销售的保健食品。 </w:t>
      </w:r>
    </w:p>
    <w:p w14:paraId="30727166"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第十条  产品声称的保健功能应当已经列入保健食品功能目录。 </w:t>
      </w:r>
    </w:p>
    <w:p w14:paraId="3175343E"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lastRenderedPageBreak/>
        <w:t xml:space="preserve">　　第十一条  国产保健食品注册申请人应当是在中国境内登记的法人或者其他组织；进口保健食品注册申请人应当是上市保健食品的境外生产厂商。 </w:t>
      </w:r>
    </w:p>
    <w:p w14:paraId="7861EE5C"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申请进口保健食品注册的，应当由其常驻中国代表机构或者由其委托中国境内的代理机构办理。 </w:t>
      </w:r>
    </w:p>
    <w:p w14:paraId="60023655"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境外生产厂商，是指产品符合所在国（地区）上市要求的法人或者其他组织。 </w:t>
      </w:r>
    </w:p>
    <w:p w14:paraId="4FEB3EE8"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第十二条  申请保健食品注册应当提交下列材料： </w:t>
      </w:r>
    </w:p>
    <w:p w14:paraId="0ED936EE"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（一）保健食品注册申请表，以及申请人对申请材料真实性负责的法律责任承诺书； </w:t>
      </w:r>
    </w:p>
    <w:p w14:paraId="3E1D0A79"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（二）注册申请人主体登记证明文件复印件； </w:t>
      </w:r>
    </w:p>
    <w:p w14:paraId="7B279EC4"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（三）产品研发报告，包括研发人、研发时间、研制过程、中试规模以上的验证数据，目录</w:t>
      </w:r>
      <w:proofErr w:type="gramStart"/>
      <w:r>
        <w:rPr>
          <w:rFonts w:hint="eastAsia"/>
          <w:color w:val="333333"/>
        </w:rPr>
        <w:t>外原料</w:t>
      </w:r>
      <w:proofErr w:type="gramEnd"/>
      <w:r>
        <w:rPr>
          <w:rFonts w:hint="eastAsia"/>
          <w:color w:val="333333"/>
        </w:rPr>
        <w:t>及产品安全性、保健功能、质量可控性的论证报告和相关科学依据，以及根据研发结果综合确定的产品技术要求等； </w:t>
      </w:r>
    </w:p>
    <w:p w14:paraId="3A02CB1A"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（四）产品配方材料，包括原料和辅料的名称及用量、生产工艺、质量标准，必要时还应当按照规定提供原料使用依据、使用部位的说明、检验合格证明、品种鉴定报告等； </w:t>
      </w:r>
    </w:p>
    <w:p w14:paraId="18366EB4"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（五）产品生产工艺材料，包括生产工艺流程简图及说明，关键工艺控制点及说明； </w:t>
      </w:r>
    </w:p>
    <w:p w14:paraId="7B41A316"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lastRenderedPageBreak/>
        <w:t xml:space="preserve">　　（六）安全性和保健功能评价材料，包括目录</w:t>
      </w:r>
      <w:proofErr w:type="gramStart"/>
      <w:r>
        <w:rPr>
          <w:rFonts w:hint="eastAsia"/>
          <w:color w:val="333333"/>
        </w:rPr>
        <w:t>外原料</w:t>
      </w:r>
      <w:proofErr w:type="gramEnd"/>
      <w:r>
        <w:rPr>
          <w:rFonts w:hint="eastAsia"/>
          <w:color w:val="333333"/>
        </w:rPr>
        <w:t>及产品的安全性、保健功能试验评价材料，人群食用评价材料；功效成分或者标志性成分、卫生学、稳定性、菌种鉴定、菌种毒力等试验报告，以及涉及兴奋剂、违禁药物成分等检测报告； </w:t>
      </w:r>
    </w:p>
    <w:p w14:paraId="201A8FEF"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（七）直接接触保健食品的包装材料种类、名称、相关标准等； </w:t>
      </w:r>
    </w:p>
    <w:p w14:paraId="361090ED"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（八）产品标签、说明书样稿；产品名称中的通用名与注册的药品名称</w:t>
      </w:r>
      <w:proofErr w:type="gramStart"/>
      <w:r>
        <w:rPr>
          <w:rFonts w:hint="eastAsia"/>
          <w:color w:val="333333"/>
        </w:rPr>
        <w:t>不</w:t>
      </w:r>
      <w:proofErr w:type="gramEnd"/>
      <w:r>
        <w:rPr>
          <w:rFonts w:hint="eastAsia"/>
          <w:color w:val="333333"/>
        </w:rPr>
        <w:t>重名的检索材料； </w:t>
      </w:r>
    </w:p>
    <w:p w14:paraId="3494AA6B"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（九）3个最小销售包装样品； </w:t>
      </w:r>
    </w:p>
    <w:p w14:paraId="465A87F0"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（十）其他与产品注册审评相关的材料。 </w:t>
      </w:r>
    </w:p>
    <w:p w14:paraId="1A1DDD74"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第十三条  申请首次进口保健食品注册，除提交本办法第十二条规定的材料外，还应当提交下列材料： </w:t>
      </w:r>
    </w:p>
    <w:p w14:paraId="06C567C3"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（一）产品生产国（地区）政府主管部门或者法律服务机构出具的注册申请人为上市保健食品境外生产厂商的资质证明文件； </w:t>
      </w:r>
    </w:p>
    <w:p w14:paraId="5E2A554A"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（二）产品生产国（地区）政府主管部门或者法律服务机构出具的保健食品上市销售一年以上的证明文件，或者产品境外销售以及人群食用情况的安全性报告； </w:t>
      </w:r>
    </w:p>
    <w:p w14:paraId="1916F398"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（三）产品生产国（地区）或者国际组织与保健食品相关的技术法规或者标准； </w:t>
      </w:r>
    </w:p>
    <w:p w14:paraId="208BBD6D"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lastRenderedPageBreak/>
        <w:t xml:space="preserve">　　（四）产品在生产国（地区）上市的包装、标签、说明书实样。 </w:t>
      </w:r>
    </w:p>
    <w:p w14:paraId="2BEEC2B6"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由境外注册申请人常驻中国代表机构办理注册事务的，应当提交《外国企业常驻中国代表机构登记证》及其复印件；境外注册申请人委托境内的代理机构办理注册事项的，应当提交经过公证的委托书原件以及受委托的代理机构营业执照复印件。 </w:t>
      </w:r>
    </w:p>
    <w:p w14:paraId="01B077DE"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第十四条  受理机构收到申请材料后，应当根据下列情况分别</w:t>
      </w:r>
      <w:proofErr w:type="gramStart"/>
      <w:r>
        <w:rPr>
          <w:rFonts w:hint="eastAsia"/>
          <w:color w:val="333333"/>
        </w:rPr>
        <w:t>作出</w:t>
      </w:r>
      <w:proofErr w:type="gramEnd"/>
      <w:r>
        <w:rPr>
          <w:rFonts w:hint="eastAsia"/>
          <w:color w:val="333333"/>
        </w:rPr>
        <w:t>处理： </w:t>
      </w:r>
    </w:p>
    <w:p w14:paraId="69F33884"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（一）申请事项依法不需要取得注册的，应当即时告知注册申请人不受理； </w:t>
      </w:r>
    </w:p>
    <w:p w14:paraId="32CC1AFD"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（二）申请事项依法不属于国家食品药品监督管理总局职权范围的，应当即时</w:t>
      </w:r>
      <w:proofErr w:type="gramStart"/>
      <w:r>
        <w:rPr>
          <w:rFonts w:hint="eastAsia"/>
          <w:color w:val="333333"/>
        </w:rPr>
        <w:t>作出</w:t>
      </w:r>
      <w:proofErr w:type="gramEnd"/>
      <w:r>
        <w:rPr>
          <w:rFonts w:hint="eastAsia"/>
          <w:color w:val="333333"/>
        </w:rPr>
        <w:t>不予受理的决定，并告知注册申请人向有关行政机关申请； </w:t>
      </w:r>
    </w:p>
    <w:p w14:paraId="5B343021"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（三）申请材料存在可以当场更正的错误的，应当允许注册申请人当场更正； </w:t>
      </w:r>
    </w:p>
    <w:p w14:paraId="7C27421E"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（四）申请材料不齐全或者不符合法定形式的，应当当场或者在5个工作日内一次告知注册申请人需要补正的全部内容，逾期不告知的，自收到申请材料之日起即为受理； </w:t>
      </w:r>
    </w:p>
    <w:p w14:paraId="09207AD4"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（五）申请事项属于国家食品药品监督管理总局职权范围，申请材料齐全、符合法定形式，注册申请人按照要求提交全部补正申请材料的，应当受理注册申请。 </w:t>
      </w:r>
    </w:p>
    <w:p w14:paraId="3E14C94B"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lastRenderedPageBreak/>
        <w:t xml:space="preserve">　　受理或者不予受理注册申请，应当出具加盖国家食品药品监督管理总局行政许可受理专用章和注明日期的书面凭证。 </w:t>
      </w:r>
    </w:p>
    <w:p w14:paraId="3E7B1784"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第十五条  受理机构应当在受理后3个工作日内将申请材料一并送交审评机构。 </w:t>
      </w:r>
    </w:p>
    <w:p w14:paraId="1341F18E"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第十六条  审评机构应当组织审评专家对申请材料进行审查，并根据实际需要组织查验机构开展现场核查，组织检验机构开展复核检验，在60个工作日内完成审评工作，并向国家食品药品监管管理总局提交综合审评结论和建议。 </w:t>
      </w:r>
    </w:p>
    <w:p w14:paraId="63DC9CD1"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特殊情况下需要延长审评时间的，经审评机构负责人同意，可以延长20个工作日，延长决定应当及时书面告知申请人。 </w:t>
      </w:r>
    </w:p>
    <w:p w14:paraId="2178DBAA"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第十七条  审评机构应当组织对申请材料中的下列内容进行审评，并根据科学依据的充足程度明确产品保健功能声称的限定用语： </w:t>
      </w:r>
    </w:p>
    <w:p w14:paraId="348FC527"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（一）产品研发报告的完整性、合理性和科学性； </w:t>
      </w:r>
    </w:p>
    <w:p w14:paraId="0A8B2C15"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（二）产品配方的科学性，及产品安全性和保健功能； </w:t>
      </w:r>
    </w:p>
    <w:p w14:paraId="1826DCFA"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（三）目录</w:t>
      </w:r>
      <w:proofErr w:type="gramStart"/>
      <w:r>
        <w:rPr>
          <w:rFonts w:hint="eastAsia"/>
          <w:color w:val="333333"/>
        </w:rPr>
        <w:t>外原料</w:t>
      </w:r>
      <w:proofErr w:type="gramEnd"/>
      <w:r>
        <w:rPr>
          <w:rFonts w:hint="eastAsia"/>
          <w:color w:val="333333"/>
        </w:rPr>
        <w:t>及产品的生产工艺合理性、可行性和质量可控性； </w:t>
      </w:r>
    </w:p>
    <w:p w14:paraId="25F810E7"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（四）产品技术要求和检验方法的科学性和复现性； </w:t>
      </w:r>
    </w:p>
    <w:p w14:paraId="38AD3C98"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（五）标签、说明书样稿主要内容以及产品名称的规范性。 </w:t>
      </w:r>
    </w:p>
    <w:p w14:paraId="68FA626A"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第十八条  审评机构在审评过程中可以调阅原始资料。 </w:t>
      </w:r>
    </w:p>
    <w:p w14:paraId="689E7C7C"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lastRenderedPageBreak/>
        <w:t xml:space="preserve">　　审评机构认为申请材料不真实、产品存在安全性或者质量可控性问题，或者不具备声称的保健功能的，应当终止审评，提出不予注册的建议。 </w:t>
      </w:r>
    </w:p>
    <w:p w14:paraId="231A842E"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第十九条  审评机构认为需要注册申请人补正材料的，应当一次告知需要补正的全部内容。注册申请人应当在3个月内按照补正通知的要求一次提供补充材料；审评机构收到补充材料后，审评时间重新计算。 </w:t>
      </w:r>
    </w:p>
    <w:p w14:paraId="4B4D981A"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注册申请人逾期未提交补充材料或者未完成补正，不足以证明产品安全性、保健功能和质量可控性的，审评机构应当终止审评，提出不予注册的建议。 </w:t>
      </w:r>
    </w:p>
    <w:p w14:paraId="7AD0EA8B"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第二十条  审评机构认为需要开展现场核查的，应当及时通知查验机构按照申请材料中的产品研发报告、配方、生产工艺等技术要求进行现场核查，并对下线产品封样送复核检验机构检验。 </w:t>
      </w:r>
    </w:p>
    <w:p w14:paraId="3BC2D32D"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查验机构应当自接到通知之日起30个工作日内完成现场核查，并将核查报告送交审评机构。 </w:t>
      </w:r>
    </w:p>
    <w:p w14:paraId="3C2C48C7"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核查报告认为申请材料不真实、无法溯源复现或者存在重大缺陷的，审评机构应当终止审评，提出不予注册的建议。 </w:t>
      </w:r>
    </w:p>
    <w:p w14:paraId="09F0D58F"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第二十一条  复核检验机构应当严格按照申请材料中的测定方法以及相关说明进行操作，对测定方法的科学性、复现性、适用性进行验证，对产品质量可控性进行复核检验，并应当自接受委托之日起60个工作日内完成复核检验，将复核检验报告送交审评机构。 </w:t>
      </w:r>
    </w:p>
    <w:p w14:paraId="773D8B90"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lastRenderedPageBreak/>
        <w:t xml:space="preserve">　　复核检验结论认为测定方法不科学、无法复现、不适用或者产品质量不可控的，审评机构应当终止审评，提出不予注册的建议。 </w:t>
      </w:r>
    </w:p>
    <w:p w14:paraId="0F20117F"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第二十二条  首次进口的保健食品境外现场核查和复核检验时限，根据境外生产厂商的实际情况确定。 </w:t>
      </w:r>
    </w:p>
    <w:p w14:paraId="5C4BE41E"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第二十三条  保健食品审评涉及的试验和检验工作应当由国家食品药品监督管理总局选择的符合条件的食品检验机构承担。 </w:t>
      </w:r>
    </w:p>
    <w:p w14:paraId="667B2877"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第二十四条  审评机构认为申请材料真实，产品科学、安全、具有声称的保健功能，生产工艺合理、可行和质量可控，技术要求和检验方法科学、合理的，应当提出予以注册的建议。 </w:t>
      </w:r>
    </w:p>
    <w:p w14:paraId="1DCC47B5"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审评机构提出不予注册建议的，应当同时向注册申请人发出拟不予注册的书面通知。注册申请人对通知有异议的，应当自收到通知之日起20个工作日内向审评机构提出书面复审申请并说明复审理由。复审的内容仅限于原申请事项及申请材料。 </w:t>
      </w:r>
    </w:p>
    <w:p w14:paraId="40E7A280"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审评机构应当自受理复审申请之日起30个工作日内</w:t>
      </w:r>
      <w:proofErr w:type="gramStart"/>
      <w:r>
        <w:rPr>
          <w:rFonts w:hint="eastAsia"/>
          <w:color w:val="333333"/>
        </w:rPr>
        <w:t>作出</w:t>
      </w:r>
      <w:proofErr w:type="gramEnd"/>
      <w:r>
        <w:rPr>
          <w:rFonts w:hint="eastAsia"/>
          <w:color w:val="333333"/>
        </w:rPr>
        <w:t>复审决定。改变不予注册建议的，应当书面通知注册申请人。 </w:t>
      </w:r>
    </w:p>
    <w:p w14:paraId="1151E7BD"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第二十五条  审评机构</w:t>
      </w:r>
      <w:proofErr w:type="gramStart"/>
      <w:r>
        <w:rPr>
          <w:rFonts w:hint="eastAsia"/>
          <w:color w:val="333333"/>
        </w:rPr>
        <w:t>作出</w:t>
      </w:r>
      <w:proofErr w:type="gramEnd"/>
      <w:r>
        <w:rPr>
          <w:rFonts w:hint="eastAsia"/>
          <w:color w:val="333333"/>
        </w:rPr>
        <w:t>综合审评结论及建议后，应当在5个工作日内报送国家食品药品监督管理总局。 </w:t>
      </w:r>
    </w:p>
    <w:p w14:paraId="0E33EBF8"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lastRenderedPageBreak/>
        <w:t xml:space="preserve">　　第二十六条  国家食品药品监督管理总局应当自受理之日起20个工作日内对审评程序和结论的合法性、规范性以及完整性进行审查，并</w:t>
      </w:r>
      <w:proofErr w:type="gramStart"/>
      <w:r>
        <w:rPr>
          <w:rFonts w:hint="eastAsia"/>
          <w:color w:val="333333"/>
        </w:rPr>
        <w:t>作出</w:t>
      </w:r>
      <w:proofErr w:type="gramEnd"/>
      <w:r>
        <w:rPr>
          <w:rFonts w:hint="eastAsia"/>
          <w:color w:val="333333"/>
        </w:rPr>
        <w:t>准予注册或者不予注册的决定。 </w:t>
      </w:r>
    </w:p>
    <w:p w14:paraId="78F0464F"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第二十七条  现场核查、复核检验、复审所需时间不计算在审评和注册决定的期限内。 </w:t>
      </w:r>
    </w:p>
    <w:p w14:paraId="34C62DE6"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第二十八条  国家食品药品监督管理总局</w:t>
      </w:r>
      <w:proofErr w:type="gramStart"/>
      <w:r>
        <w:rPr>
          <w:rFonts w:hint="eastAsia"/>
          <w:color w:val="333333"/>
        </w:rPr>
        <w:t>作出</w:t>
      </w:r>
      <w:proofErr w:type="gramEnd"/>
      <w:r>
        <w:rPr>
          <w:rFonts w:hint="eastAsia"/>
          <w:color w:val="333333"/>
        </w:rPr>
        <w:t>准予注册或者不予注册的决定后，应当自</w:t>
      </w:r>
      <w:proofErr w:type="gramStart"/>
      <w:r>
        <w:rPr>
          <w:rFonts w:hint="eastAsia"/>
          <w:color w:val="333333"/>
        </w:rPr>
        <w:t>作出</w:t>
      </w:r>
      <w:proofErr w:type="gramEnd"/>
      <w:r>
        <w:rPr>
          <w:rFonts w:hint="eastAsia"/>
          <w:color w:val="333333"/>
        </w:rPr>
        <w:t>决定之日起10个工作日内，由受理机构向注册申请人发出保健食品注册证书或者不予注册决定。 </w:t>
      </w:r>
    </w:p>
    <w:p w14:paraId="31DBAB4B"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第二十九条  注册申请人对国家食品药品监督管理总局</w:t>
      </w:r>
      <w:proofErr w:type="gramStart"/>
      <w:r>
        <w:rPr>
          <w:rFonts w:hint="eastAsia"/>
          <w:color w:val="333333"/>
        </w:rPr>
        <w:t>作出</w:t>
      </w:r>
      <w:proofErr w:type="gramEnd"/>
      <w:r>
        <w:rPr>
          <w:rFonts w:hint="eastAsia"/>
          <w:color w:val="333333"/>
        </w:rPr>
        <w:t>不予注册的决定有异议的，可以向国家食品药品监督管理总局提出书面行政复议申请或者向法院提出行政诉讼。 </w:t>
      </w:r>
    </w:p>
    <w:p w14:paraId="534734CF"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第三十条  保健食品注册人转让技术的，受让方应当在转让方的指导下重新提出产品注册申请，产品技术要求等应当与原申请材料一致。 </w:t>
      </w:r>
    </w:p>
    <w:p w14:paraId="6DC1DDDC"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审评机构按照相关规定简化审评程序。符合要求的，国家食品药品监督管理总局应当为受让方核发新的保健食品注册证书，并对转让方保健食品注册予以注销。 </w:t>
      </w:r>
    </w:p>
    <w:p w14:paraId="41693A02"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受让方除提交本办法规定的注册申请材料外，还应当提交经公证的转让合同。 </w:t>
      </w:r>
    </w:p>
    <w:p w14:paraId="7CE32694"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lastRenderedPageBreak/>
        <w:t xml:space="preserve">　　第三十一条  保健食品注册证书及其附件所载明内容变更的，应当由保健食品注册人申请变更并提交书面变更的理由和依据。 </w:t>
      </w:r>
    </w:p>
    <w:p w14:paraId="314C0363"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注册人名称变更的，应当由变更后的注册申请人申请变更。 </w:t>
      </w:r>
    </w:p>
    <w:p w14:paraId="4C2ABE1D"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第三十二条  已经生产销售的保健食品注册证书有效期届满需要延续的，保健食品注册人应当在有效期届满6个月前申请延续。 </w:t>
      </w:r>
    </w:p>
    <w:p w14:paraId="1ECC2D83"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获得注册的保健食品原料已经列入保健食品原料目录，并符合相关技术要求，保健食品注册人申请变更注册，或者期满申请延续注册的，应当按照备案程序办理。 </w:t>
      </w:r>
    </w:p>
    <w:p w14:paraId="19FABF4D"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第三十三条  申请变更国产保健食品注册的，除提交保健食品注册变更申请表（包括申请人对申请材料真实性负责的法律责任承诺书）、注册申请人主体登记证明文件复印件、保健食品注册证书及其附件的复印件外，还应当按照下列情形分别提交材料： </w:t>
      </w:r>
    </w:p>
    <w:p w14:paraId="4389B61A"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（一）改变注册人名称、地址的变更申请，还应当提供该注册人名称、地址变更的证明材料； </w:t>
      </w:r>
    </w:p>
    <w:p w14:paraId="151BE814"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（二）改变产品名称的变更申请，还应当提供拟变更后的产品通用名与已经注册的药品名称</w:t>
      </w:r>
      <w:proofErr w:type="gramStart"/>
      <w:r>
        <w:rPr>
          <w:rFonts w:hint="eastAsia"/>
          <w:color w:val="333333"/>
        </w:rPr>
        <w:t>不</w:t>
      </w:r>
      <w:proofErr w:type="gramEnd"/>
      <w:r>
        <w:rPr>
          <w:rFonts w:hint="eastAsia"/>
          <w:color w:val="333333"/>
        </w:rPr>
        <w:t>重名的检索材料； </w:t>
      </w:r>
    </w:p>
    <w:p w14:paraId="6AA2F891"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（三）增加保健食品功能项目的变更申请，还应当提供所增加功能项目的功能</w:t>
      </w:r>
      <w:proofErr w:type="gramStart"/>
      <w:r>
        <w:rPr>
          <w:rFonts w:hint="eastAsia"/>
          <w:color w:val="333333"/>
        </w:rPr>
        <w:t>学试验</w:t>
      </w:r>
      <w:proofErr w:type="gramEnd"/>
      <w:r>
        <w:rPr>
          <w:rFonts w:hint="eastAsia"/>
          <w:color w:val="333333"/>
        </w:rPr>
        <w:t>报告； </w:t>
      </w:r>
    </w:p>
    <w:p w14:paraId="0926C073"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lastRenderedPageBreak/>
        <w:t xml:space="preserve">　　（四）改变产品规格、保质期、生产工艺等涉及产品技术要求的变更申请，还应当提供证明变更后产品的安全性、保健功能和质量可控性与原注册内容实质等同的材料、依据及变更后3批样品符合产品技术要求的全项目检验报告； </w:t>
      </w:r>
    </w:p>
    <w:p w14:paraId="2EB1B33A"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（五）改变产品标签、说明书的变更申请，还应当提供拟变更的保健食品标签、说明书样稿。 </w:t>
      </w:r>
    </w:p>
    <w:p w14:paraId="72357B6E"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第三十四条  申请延续国产保健食品注册的，应当提交下列材料： </w:t>
      </w:r>
    </w:p>
    <w:p w14:paraId="08CD101E"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（一）保健食品延续注册申请表，以及申请人对申请材料真实性负责的法律责任承诺书； </w:t>
      </w:r>
    </w:p>
    <w:p w14:paraId="3DF00AC4"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（二）注册申请人主体登记证明文件复印件； </w:t>
      </w:r>
    </w:p>
    <w:p w14:paraId="3CD9E010"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（三）保健食品注册证书及其附件的复印件； </w:t>
      </w:r>
    </w:p>
    <w:p w14:paraId="0D759E02"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（四）经省级食品药品监督管理部门核实的注册证书有效期内保健食品的生产销售情况； </w:t>
      </w:r>
    </w:p>
    <w:p w14:paraId="743B5E2F"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（五）人群食用情况分析报告、生产质量管理体系运行情况的自查报告以及符合产品技术要求的检验报告。 </w:t>
      </w:r>
    </w:p>
    <w:p w14:paraId="24991867"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第三十五条  申请进口保健食品变更注册或者延续注册的，除分别提交本办法第三十三条、第三十四条规定的材料外，还应当提交本办法第十三条第一款（一）、（二）、（三）、（四）项和第二款规定的相关材料。 </w:t>
      </w:r>
    </w:p>
    <w:p w14:paraId="2049ED7A"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lastRenderedPageBreak/>
        <w:t xml:space="preserve">　　第三十六条  变更申请的理由依据充分合理，不影响产品安全性、保健功能和质量可控性的，予以变更注册；变更申请的理由依据不充分、不合理，或者拟变更事项影响产品安全性、保健功能和质量可控性的，不予变更注册。 </w:t>
      </w:r>
    </w:p>
    <w:p w14:paraId="4F2834CA"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第三十七条  申请延续注册的保健食品的安全性、保健功能和质量可控性符合要求的，予以延续注册。 </w:t>
      </w:r>
    </w:p>
    <w:p w14:paraId="547E108F"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申请延续注册的保健食品的安全性、保健功能和质量可控性依据不足或者不再符合要求，在注册证书有效期内未进行生产销售的，以及注册人未在规定时限内提交延续申请的，不予延续注册。 </w:t>
      </w:r>
    </w:p>
    <w:p w14:paraId="034E1C5D"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第三十八条  接到保健食品延续注册申请的食品药品监督管理部门应当在保健食品注册证书有效期届满前作出是否准予延续的决定。逾期未</w:t>
      </w:r>
      <w:proofErr w:type="gramStart"/>
      <w:r>
        <w:rPr>
          <w:rFonts w:hint="eastAsia"/>
          <w:color w:val="333333"/>
        </w:rPr>
        <w:t>作出</w:t>
      </w:r>
      <w:proofErr w:type="gramEnd"/>
      <w:r>
        <w:rPr>
          <w:rFonts w:hint="eastAsia"/>
          <w:color w:val="333333"/>
        </w:rPr>
        <w:t>决定的，视为准予延续注册。 </w:t>
      </w:r>
    </w:p>
    <w:p w14:paraId="66A2CA2A"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第三十九条  准予变更注册或者延续注册的，颁发新的保健食品注册证书，同时注销原保健食品注册证书。 </w:t>
      </w:r>
    </w:p>
    <w:p w14:paraId="0E3297D0"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第四十条  保健食品变更注册与延续注册的程序未作规定的，可以适用本办法关于保健食品注册的相关规定。 </w:t>
      </w:r>
    </w:p>
    <w:p w14:paraId="45F6B5EB" w14:textId="77777777" w:rsidR="006F27F6" w:rsidRDefault="006F27F6" w:rsidP="006F27F6">
      <w:pPr>
        <w:pStyle w:val="a4"/>
        <w:shd w:val="clear" w:color="auto" w:fill="FFFFFF"/>
        <w:spacing w:line="480" w:lineRule="auto"/>
        <w:jc w:val="center"/>
        <w:rPr>
          <w:rFonts w:hint="eastAsia"/>
          <w:color w:val="333333"/>
        </w:rPr>
      </w:pPr>
      <w:r>
        <w:rPr>
          <w:rFonts w:hint="eastAsia"/>
          <w:color w:val="333333"/>
        </w:rPr>
        <w:t xml:space="preserve">　　第三章  注册证书管理 </w:t>
      </w:r>
    </w:p>
    <w:p w14:paraId="24ADCA6B"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第四十一条  保健食品注册证书应当载明产品名称、注册人名称和地址、注册号、颁发日期及有效期、保健功能、功效成分或者标志性成分及含量、产品规格、保质期、适宜人群、不适宜人群、注意事项。 </w:t>
      </w:r>
    </w:p>
    <w:p w14:paraId="3A3B40BD"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lastRenderedPageBreak/>
        <w:t xml:space="preserve">　　保健食品注册证书附件应当载明产品标签、说明书主要内容和产品技术要求等。 </w:t>
      </w:r>
    </w:p>
    <w:p w14:paraId="0E2F72A6"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产品技术要求应当包括产品名称、配方、生产工艺、感官要求、鉴别、理化指标、微生物指标、功效成分或者标志性成分含量及检测方法、装量或者重量差异指标（净含量及允许负偏差指标）、原辅料质量要求等内容。 </w:t>
      </w:r>
    </w:p>
    <w:p w14:paraId="4D4DF191"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第四十二条  保健食品注册证书有效期为5年。变更注册的保健食品注册证书有效期与原保健食品注册证书有效期相同。 </w:t>
      </w:r>
    </w:p>
    <w:p w14:paraId="42392869"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第四十三条  国产保健食品注册号格式为：</w:t>
      </w:r>
      <w:proofErr w:type="gramStart"/>
      <w:r>
        <w:rPr>
          <w:rFonts w:hint="eastAsia"/>
          <w:color w:val="333333"/>
        </w:rPr>
        <w:t>国食健注</w:t>
      </w:r>
      <w:proofErr w:type="gramEnd"/>
      <w:r>
        <w:rPr>
          <w:rFonts w:hint="eastAsia"/>
          <w:color w:val="333333"/>
        </w:rPr>
        <w:t>G+4位年代号+4位顺序号；进口保健食品注册号格式为：</w:t>
      </w:r>
      <w:proofErr w:type="gramStart"/>
      <w:r>
        <w:rPr>
          <w:rFonts w:hint="eastAsia"/>
          <w:color w:val="333333"/>
        </w:rPr>
        <w:t>国食健注</w:t>
      </w:r>
      <w:proofErr w:type="gramEnd"/>
      <w:r>
        <w:rPr>
          <w:rFonts w:hint="eastAsia"/>
          <w:color w:val="333333"/>
        </w:rPr>
        <w:t>J+4位年代号+4位顺序号。 </w:t>
      </w:r>
    </w:p>
    <w:p w14:paraId="25D00ABB"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第四十四条  保健食品注册有效期内，保健食品注册证书遗失或者损坏的，保健食品注册人应当向受理机构提出书面申请并说明理由。因遗失申请补发的，应当在省、自治区、直辖市食品药品监督管理部门网站上发布遗失声明；因损坏申请补发的，应当交回保健食品注册证书原件。 </w:t>
      </w:r>
    </w:p>
    <w:p w14:paraId="39385F75"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国家食品药品监督管理总局应当在受理后20个工作日内予以补发。补发的保健食品注册证书应当标注原批准日期，并注明“补发”字样。 </w:t>
      </w:r>
    </w:p>
    <w:p w14:paraId="42B2D5D5" w14:textId="77777777" w:rsidR="006F27F6" w:rsidRDefault="006F27F6" w:rsidP="006F27F6">
      <w:pPr>
        <w:pStyle w:val="a4"/>
        <w:shd w:val="clear" w:color="auto" w:fill="FFFFFF"/>
        <w:spacing w:line="480" w:lineRule="auto"/>
        <w:jc w:val="center"/>
        <w:rPr>
          <w:rFonts w:hint="eastAsia"/>
          <w:color w:val="333333"/>
        </w:rPr>
      </w:pPr>
      <w:r>
        <w:rPr>
          <w:rFonts w:hint="eastAsia"/>
          <w:color w:val="333333"/>
        </w:rPr>
        <w:t xml:space="preserve">　　第四章  备  案 </w:t>
      </w:r>
    </w:p>
    <w:p w14:paraId="61C22D69"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第四十五条  生产和进口下列保健食品应当依法备案： </w:t>
      </w:r>
    </w:p>
    <w:p w14:paraId="7154F799"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（一）使用的原料已经列入保健食品原料目录的保健食品； </w:t>
      </w:r>
    </w:p>
    <w:p w14:paraId="63AB9C58"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lastRenderedPageBreak/>
        <w:t xml:space="preserve">　　（二）首次进口的属于补充维生素、矿物质等营养物质的保健食品。 </w:t>
      </w:r>
    </w:p>
    <w:p w14:paraId="4999CE3C"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首次进口的属于补充维生素、矿物质等营养物质的保健食品，其营养物质应当是列入保健食品原料目录的物质。 </w:t>
      </w:r>
    </w:p>
    <w:p w14:paraId="2C89ADB6"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第四十六条  国产保健食品的备案人应当是保健食品生产企业，原注册人可以作为备案人；进口保健食品的备案人，应当是上市保健食品境外生产厂商。 </w:t>
      </w:r>
    </w:p>
    <w:p w14:paraId="38D9F7C2"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第四十七条  备案的产品配方、原辅料名称及用量、功效、生产工艺等应当符合法律、法规、规章、强制性标准以及保健食品原料目录技术要求的规定。 </w:t>
      </w:r>
    </w:p>
    <w:p w14:paraId="1D02A2BF"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第四十八条  申请保健食品备案，除应当提交本办法第十二条第（四）、（五）、（六）、（七）、（八）项规定的材料外，还应当提交下列材料： </w:t>
      </w:r>
    </w:p>
    <w:p w14:paraId="092A47FD"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（一）保健食品备案登记表，以及备案人对提交材料真实性负责的法律责任承诺书； </w:t>
      </w:r>
    </w:p>
    <w:p w14:paraId="36187D24"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（二）备案人主体登记证明文件复印件； </w:t>
      </w:r>
    </w:p>
    <w:p w14:paraId="6485ABD0"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（三）产品技术要求材料； </w:t>
      </w:r>
    </w:p>
    <w:p w14:paraId="771D2D51"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（四）具有合法资质的检验机构出具的符合产品技术要求全项目检验报告； </w:t>
      </w:r>
    </w:p>
    <w:p w14:paraId="356065B3"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（五）其他表明产品安全性和保健功能的材料。 </w:t>
      </w:r>
    </w:p>
    <w:p w14:paraId="4E2A65CF"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第四十九条  申请进口保健食品备案的，除提交本办法第四十八条规定的材料外，还应当提交本办法第十三条第一款（一）、（二）、（三）、（四）项和第二款规定的相关材料。 </w:t>
      </w:r>
    </w:p>
    <w:p w14:paraId="4B90919D"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lastRenderedPageBreak/>
        <w:t xml:space="preserve">　　第五十条  食品药品监督管理部门收到备案材料后，备案材料符合要求的，当场备案；不符合要求的，应当一次告知备案人补正相关材料。 </w:t>
      </w:r>
    </w:p>
    <w:p w14:paraId="042EFE98"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第五十一条  食品药品监督管理部门应当完成备案信息的存档备查工作，并发放备案号。对备案的保健食品，食品药品监督管理部门应当按照相关要求的格式制作备案凭证，并将备案信息表中登载的信息在其网站上公布。 </w:t>
      </w:r>
    </w:p>
    <w:p w14:paraId="19E9B66F"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国产保健食品备案号格式为：</w:t>
      </w:r>
      <w:proofErr w:type="gramStart"/>
      <w:r>
        <w:rPr>
          <w:rFonts w:hint="eastAsia"/>
          <w:color w:val="333333"/>
        </w:rPr>
        <w:t>食健备</w:t>
      </w:r>
      <w:proofErr w:type="gramEnd"/>
      <w:r>
        <w:rPr>
          <w:rFonts w:hint="eastAsia"/>
          <w:color w:val="333333"/>
        </w:rPr>
        <w:t>G+4位年代号+2位省级行政区域代码+6位顺序编号；进口保健食品备案号格式为：</w:t>
      </w:r>
      <w:proofErr w:type="gramStart"/>
      <w:r>
        <w:rPr>
          <w:rFonts w:hint="eastAsia"/>
          <w:color w:val="333333"/>
        </w:rPr>
        <w:t>食健备</w:t>
      </w:r>
      <w:proofErr w:type="gramEnd"/>
      <w:r>
        <w:rPr>
          <w:rFonts w:hint="eastAsia"/>
          <w:color w:val="333333"/>
        </w:rPr>
        <w:t>J+4位年代号+00+6位顺序编号。 </w:t>
      </w:r>
    </w:p>
    <w:p w14:paraId="3608700E"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第五十二条  已经备案的保健食品，需要变更备案材料的，备案人应当向原备案机关提交变更说明及相关证明文件。备案材料符合要求的，食品药品监督管理部门应当将变更情况登载于变更信息中，将备案材料存档备查。 </w:t>
      </w:r>
    </w:p>
    <w:p w14:paraId="7CBF979B"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第五十三条  保健食品备案信息应当包括产品名称、备案人名称和地址、备案登记号、登记日期以及产品标签、说明书和技术要求。 </w:t>
      </w:r>
    </w:p>
    <w:p w14:paraId="5D28234C" w14:textId="77777777" w:rsidR="006F27F6" w:rsidRDefault="006F27F6" w:rsidP="006F27F6">
      <w:pPr>
        <w:pStyle w:val="a4"/>
        <w:shd w:val="clear" w:color="auto" w:fill="FFFFFF"/>
        <w:spacing w:line="480" w:lineRule="auto"/>
        <w:jc w:val="center"/>
        <w:rPr>
          <w:rFonts w:hint="eastAsia"/>
          <w:color w:val="333333"/>
        </w:rPr>
      </w:pPr>
      <w:r>
        <w:rPr>
          <w:rFonts w:hint="eastAsia"/>
          <w:color w:val="333333"/>
        </w:rPr>
        <w:t xml:space="preserve">　　第五章  标签、说明书 </w:t>
      </w:r>
    </w:p>
    <w:p w14:paraId="67DEFC8A"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第五十四条  申请保健食品注册或者备案的，产品标签、说明书样稿应当包括产品名称、原料、辅料、功效成分或者标志性成分及含量、适宜人群、不适宜人群、保健功能、食用量及食用方法、规格、贮藏方法、保质期、注意事项等内容及相关制定依据和说明等。 </w:t>
      </w:r>
    </w:p>
    <w:p w14:paraId="708B237B"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lastRenderedPageBreak/>
        <w:t xml:space="preserve">　　第五十五条  保健食品的标签、说明书主要内容不得涉及疾病预防、治疗功能，并声明“本品不能代替药物”。 </w:t>
      </w:r>
    </w:p>
    <w:p w14:paraId="24DD0E5C"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第五十六条  保健食品的名称由商标名、通用名和属性名组成。 </w:t>
      </w:r>
    </w:p>
    <w:p w14:paraId="4F7CAFD2"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商标名，是指保健食品使用依法注册的商标名称或者符合《商标法》规定的未注册的商标名称，用以表明其产品是独有的、区别于其他同类产品。 </w:t>
      </w:r>
    </w:p>
    <w:p w14:paraId="7D71E14E"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通用名，是指表明产品主要原料等特性的名称。 </w:t>
      </w:r>
    </w:p>
    <w:p w14:paraId="14DD5B42"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属性名，是指表明产品剂型或者食品分类属性等的名称。 </w:t>
      </w:r>
    </w:p>
    <w:p w14:paraId="0B02B870"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第五十七条  保健食品名称不得含有下列内容： </w:t>
      </w:r>
    </w:p>
    <w:p w14:paraId="026A62C7"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（一）虚假、夸大或者绝对化的词语； </w:t>
      </w:r>
    </w:p>
    <w:p w14:paraId="465C27B6"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（二）明示或者暗示预防、治疗功能的词语； </w:t>
      </w:r>
    </w:p>
    <w:p w14:paraId="586C4C88"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（三）庸俗或者带有封建迷信色彩的词语； </w:t>
      </w:r>
    </w:p>
    <w:p w14:paraId="4DC0DEF6"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（四）人体组织器官等词语； </w:t>
      </w:r>
    </w:p>
    <w:p w14:paraId="7B36703C"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（五）除“</w:t>
      </w:r>
      <w:r>
        <w:rPr>
          <w:noProof/>
          <w:color w:val="333333"/>
        </w:rPr>
        <mc:AlternateContent>
          <mc:Choice Requires="wps">
            <w:drawing>
              <wp:inline distT="0" distB="0" distL="0" distR="0" wp14:anchorId="0DB03D4F" wp14:editId="3D2CB546">
                <wp:extent cx="190500" cy="1905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40E4AD" id="AutoShape 1"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" filled="f" stroked="f">
                <o:lock v:ext="edit" aspectratio="t"/>
                <w10:anchorlock/>
              </v:rect>
            </w:pict>
          </mc:Fallback>
        </mc:AlternateContent>
      </w:r>
      <w:r>
        <w:rPr>
          <w:rFonts w:hint="eastAsia"/>
          <w:color w:val="333333"/>
        </w:rPr>
        <w:t>”之外的符号； </w:t>
      </w:r>
    </w:p>
    <w:p w14:paraId="727CAB13"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（六）其他误导消费者的词语。 </w:t>
      </w:r>
    </w:p>
    <w:p w14:paraId="33BBECB7"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保健食品名称不得含有人名、地名、汉语拼音、字母及数字等，但注册商标作为商标名、通用名中含有符合国家规定的含字母及数字的原料名除外。 </w:t>
      </w:r>
    </w:p>
    <w:p w14:paraId="4B750936"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lastRenderedPageBreak/>
        <w:t xml:space="preserve">　　第五十八条  通用名不得含有下列内容： </w:t>
      </w:r>
    </w:p>
    <w:p w14:paraId="63EF4990"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（一）已经注册的药品通用名，但以原料名称命名或者保健食品注册批准在先的除外； </w:t>
      </w:r>
    </w:p>
    <w:p w14:paraId="6DE5F732"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（二）保健功能名称或者与表述产品保健功能相关的文字； </w:t>
      </w:r>
    </w:p>
    <w:p w14:paraId="2A4929DC"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（三）易产生误导的原料简写名称； </w:t>
      </w:r>
    </w:p>
    <w:p w14:paraId="53D79797"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（四）营养素补充剂产品配方中部分维生素或者矿物质； </w:t>
      </w:r>
    </w:p>
    <w:p w14:paraId="10DF5E50"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（五）法律法规规定禁止使用的其他词语。 </w:t>
      </w:r>
    </w:p>
    <w:p w14:paraId="6431F076"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第五十九条  备案保健食品通用</w:t>
      </w:r>
      <w:proofErr w:type="gramStart"/>
      <w:r>
        <w:rPr>
          <w:rFonts w:hint="eastAsia"/>
          <w:color w:val="333333"/>
        </w:rPr>
        <w:t>名应当</w:t>
      </w:r>
      <w:proofErr w:type="gramEnd"/>
      <w:r>
        <w:rPr>
          <w:rFonts w:hint="eastAsia"/>
          <w:color w:val="333333"/>
        </w:rPr>
        <w:t>以规范的原料名称命名。 </w:t>
      </w:r>
    </w:p>
    <w:p w14:paraId="6AE2D10E"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第六十条  同一企业不得使用同一配方注册或者备案不同名称的保健食品；不得使用同一名称注册或者备案不同配方的保健食品。 </w:t>
      </w:r>
    </w:p>
    <w:p w14:paraId="1A7AFF66" w14:textId="77777777" w:rsidR="006F27F6" w:rsidRDefault="006F27F6" w:rsidP="006F27F6">
      <w:pPr>
        <w:pStyle w:val="a4"/>
        <w:shd w:val="clear" w:color="auto" w:fill="FFFFFF"/>
        <w:spacing w:line="480" w:lineRule="auto"/>
        <w:jc w:val="center"/>
        <w:rPr>
          <w:rFonts w:hint="eastAsia"/>
          <w:color w:val="333333"/>
        </w:rPr>
      </w:pPr>
      <w:r>
        <w:rPr>
          <w:rFonts w:hint="eastAsia"/>
          <w:color w:val="333333"/>
        </w:rPr>
        <w:t xml:space="preserve">　　第六章  监督管理 </w:t>
      </w:r>
    </w:p>
    <w:p w14:paraId="7BA4A286"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第六十一条  国家食品药品监督管理总局应当及时制定并公布保健食品注册申请服务指南和审查细则，方便注册申请人申报。 </w:t>
      </w:r>
    </w:p>
    <w:p w14:paraId="75FBF0E7"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第六十二条  承担保健食品审评、核查、检验的机构和人员应当对出具的审评意见、核查报告、检验报告负责。 </w:t>
      </w:r>
    </w:p>
    <w:p w14:paraId="5D55C26E"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lastRenderedPageBreak/>
        <w:t xml:space="preserve">　　保健食品审评、核查、检验机构和人员应当依照有关法律、法规、规章的规定，恪守职业道德，按照食品安全标准、技术规范等对保健食品进行审评、核查和检验，保证相关工作科学、客观和公正。 </w:t>
      </w:r>
    </w:p>
    <w:p w14:paraId="3E10E12F"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第六十三条  参与保健食品注册与备案管理工作的单位和个人，应当保守在注册或者备案中获知的商业秘密。 </w:t>
      </w:r>
    </w:p>
    <w:p w14:paraId="289B9F25"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属于商业秘密的，注册申请人和备案人在申请注册或者备案时应当在提交的资料中明确相关内容和依据。 </w:t>
      </w:r>
    </w:p>
    <w:p w14:paraId="75350476"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第六十四条  食品药品监督管理部门接到有关单位或者个人举报的保健食品注册受理、审评、核查、检验、审批等工作中的违法违规行为后，应当及时核实处理。 </w:t>
      </w:r>
    </w:p>
    <w:p w14:paraId="0DF921A6"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第六十五条  除涉及国家秘密、商业秘密外，食品药品监督管理部门应当自完成注册或者备案工作之日起20个工作日内根据相关职责在网站公布已经注册或者备案的保健食品目录及相关信息。 </w:t>
      </w:r>
    </w:p>
    <w:p w14:paraId="298C9DAB"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第六十六条  有下列情形之一的，国家食品药品监督管理总局根据利害关系人的请求或者依据职权，可以撤销保健食品注册证书： </w:t>
      </w:r>
    </w:p>
    <w:p w14:paraId="12898416"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（一）行政机关工作人员滥用职权、玩忽职守</w:t>
      </w:r>
      <w:proofErr w:type="gramStart"/>
      <w:r>
        <w:rPr>
          <w:rFonts w:hint="eastAsia"/>
          <w:color w:val="333333"/>
        </w:rPr>
        <w:t>作出</w:t>
      </w:r>
      <w:proofErr w:type="gramEnd"/>
      <w:r>
        <w:rPr>
          <w:rFonts w:hint="eastAsia"/>
          <w:color w:val="333333"/>
        </w:rPr>
        <w:t>准予注册决定的； </w:t>
      </w:r>
    </w:p>
    <w:p w14:paraId="409D0719"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（二）超越法定职权或者违反法定程序</w:t>
      </w:r>
      <w:proofErr w:type="gramStart"/>
      <w:r>
        <w:rPr>
          <w:rFonts w:hint="eastAsia"/>
          <w:color w:val="333333"/>
        </w:rPr>
        <w:t>作出</w:t>
      </w:r>
      <w:proofErr w:type="gramEnd"/>
      <w:r>
        <w:rPr>
          <w:rFonts w:hint="eastAsia"/>
          <w:color w:val="333333"/>
        </w:rPr>
        <w:t>准予注册决定的； </w:t>
      </w:r>
    </w:p>
    <w:p w14:paraId="63263261"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（三）对不具备申请资格或者不符合法定条件的注册申请人准予注册的； </w:t>
      </w:r>
    </w:p>
    <w:p w14:paraId="4B67AD72"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lastRenderedPageBreak/>
        <w:t xml:space="preserve">　　（四）依法可以撤销保健食品注册证书的其他情形。 </w:t>
      </w:r>
    </w:p>
    <w:p w14:paraId="6375D211"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注册人以欺骗、贿赂等不正当手段取得保健食品注册的，国家食品药品监督管理总局应当予以撤销。 </w:t>
      </w:r>
    </w:p>
    <w:p w14:paraId="3A08C658"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第六十七条  有下列情形之一的，国家食品药品监督管理总局应当依法办理保健食品注册注销手续： </w:t>
      </w:r>
    </w:p>
    <w:p w14:paraId="7DADF495"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（一）保健食品注册有效期届满，注册人未申请延续或者国家食品药品监管总局不予延续的； </w:t>
      </w:r>
    </w:p>
    <w:p w14:paraId="158CF76F"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（二）保健食品注册人申请注销的； </w:t>
      </w:r>
    </w:p>
    <w:p w14:paraId="5BFD282D"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（三）保健食品注册人依法终止的； </w:t>
      </w:r>
    </w:p>
    <w:p w14:paraId="19FB31CC"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（四）保健食品注册依法被撤销，或者保健食品注册证书依法被吊销的； </w:t>
      </w:r>
    </w:p>
    <w:p w14:paraId="54B224B8"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（五）根据科学研究的发展，有证据表明保健食品可能存在安全隐患，依法被撤回的； </w:t>
      </w:r>
    </w:p>
    <w:p w14:paraId="513776DE"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（六）法律、法规规定的应当注销保健食品注册的其他情形。 </w:t>
      </w:r>
    </w:p>
    <w:p w14:paraId="57D7FC30"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第六十八条  有下列情形之一的，食品药品监督管理部门取消保健食品备案： </w:t>
      </w:r>
    </w:p>
    <w:p w14:paraId="13F2999A"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（一）备案材料虚假的； </w:t>
      </w:r>
    </w:p>
    <w:p w14:paraId="5CFB6C74"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（二）备案产品生产工艺、产品配方等存在安全性问题的； </w:t>
      </w:r>
    </w:p>
    <w:p w14:paraId="347C913B"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lastRenderedPageBreak/>
        <w:t xml:space="preserve">　　（三）保健食品生产企业的生产许可被依法吊销、注销的； </w:t>
      </w:r>
    </w:p>
    <w:p w14:paraId="29DC5E46"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（四）备案人申请取消备案的； </w:t>
      </w:r>
    </w:p>
    <w:p w14:paraId="0619751B"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（五）依法应当取消备案的其他情形。 </w:t>
      </w:r>
    </w:p>
    <w:p w14:paraId="19AE3FD6" w14:textId="77777777" w:rsidR="006F27F6" w:rsidRDefault="006F27F6" w:rsidP="006F27F6">
      <w:pPr>
        <w:pStyle w:val="a4"/>
        <w:shd w:val="clear" w:color="auto" w:fill="FFFFFF"/>
        <w:spacing w:line="480" w:lineRule="auto"/>
        <w:jc w:val="center"/>
        <w:rPr>
          <w:rFonts w:hint="eastAsia"/>
          <w:color w:val="333333"/>
        </w:rPr>
      </w:pPr>
      <w:r>
        <w:rPr>
          <w:rFonts w:hint="eastAsia"/>
          <w:color w:val="333333"/>
        </w:rPr>
        <w:t xml:space="preserve">　　第七章  法律责任 </w:t>
      </w:r>
    </w:p>
    <w:p w14:paraId="4CD3C2F8"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第六十九条  保健食品注册与备案违法行为，食品安全法等法律法规已有规定的，依照其规定。 </w:t>
      </w:r>
    </w:p>
    <w:p w14:paraId="72EB6FD8"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第七十条  注册申请人隐瞒真实情况或者提供虚假材料申请注册的，国家食品药品监督管理总局不予受理或者不予注册，并给予警告；申请人在1年内不得再次申请注册该保健食品；构成犯罪的，依法追究刑事责任。 </w:t>
      </w:r>
    </w:p>
    <w:p w14:paraId="4D2EA3CF"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第七十一条  注册申请人以欺骗、贿赂等不正当手段取得保健食品注册证书的，由国家食品药品监督管理总局撤销保健食品注册证书，并处1万元以上3万元以下罚款。被许可人在3年内不得再次申请注册；构成犯罪的，依法追究刑事责任。 </w:t>
      </w:r>
    </w:p>
    <w:p w14:paraId="114F1D3C"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第七十二条  有下列情形之一的，由县级以上人民政府食品药品监督管理部门处以1万元以上3万元以下罚款；构成犯罪的，依法追究刑事责任。 </w:t>
      </w:r>
    </w:p>
    <w:p w14:paraId="232142E4"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（一）擅自转让保健食品注册证书的； </w:t>
      </w:r>
    </w:p>
    <w:p w14:paraId="4E0FF23B"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（二）伪造、涂改、倒卖、出租、出借保健食品注册证书的。 </w:t>
      </w:r>
    </w:p>
    <w:p w14:paraId="54CC8D43"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lastRenderedPageBreak/>
        <w:t xml:space="preserve">　　第七十三条  食品药品监督管理部门及其工作人员对不符合条件的申请人准予注册，或者超越法定职权准予注册的，依照食品安全法第一百四十四条的规定予以处理。 </w:t>
      </w:r>
    </w:p>
    <w:p w14:paraId="46541649" w14:textId="77777777" w:rsidR="006F27F6" w:rsidRDefault="006F27F6" w:rsidP="006F27F6">
      <w:pPr>
        <w:pStyle w:val="a4"/>
        <w:shd w:val="clear" w:color="auto" w:fill="FFFFFF"/>
        <w:spacing w:line="480" w:lineRule="auto"/>
        <w:jc w:val="center"/>
        <w:rPr>
          <w:rFonts w:hint="eastAsia"/>
          <w:color w:val="333333"/>
        </w:rPr>
      </w:pPr>
      <w:r>
        <w:rPr>
          <w:rFonts w:hint="eastAsia"/>
          <w:color w:val="333333"/>
        </w:rPr>
        <w:t xml:space="preserve">　　食品药品监督管理部门及其工作人员在注册审评过程中滥用职权、玩忽职守、徇私舞弊的，依照食品安全法第一百四十五条的规定予以处理。 </w:t>
      </w:r>
    </w:p>
    <w:p w14:paraId="22E7CB48" w14:textId="77777777" w:rsidR="006F27F6" w:rsidRDefault="006F27F6" w:rsidP="006F27F6">
      <w:pPr>
        <w:pStyle w:val="a4"/>
        <w:shd w:val="clear" w:color="auto" w:fill="FFFFFF"/>
        <w:spacing w:line="480" w:lineRule="auto"/>
        <w:jc w:val="center"/>
        <w:rPr>
          <w:rFonts w:hint="eastAsia"/>
          <w:color w:val="333333"/>
        </w:rPr>
      </w:pPr>
      <w:r>
        <w:rPr>
          <w:rFonts w:hint="eastAsia"/>
          <w:color w:val="333333"/>
        </w:rPr>
        <w:t xml:space="preserve">　　第八章  附  则 </w:t>
      </w:r>
    </w:p>
    <w:p w14:paraId="316E5E0D"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第七十四条  申请首次进口保健食品注册和办理进口保健食品备案及其变更的，应当提交中文材料，外文材料附后。中文译本应当由境内公证机构进行公证，确保与原文内容一致；申请注册的产品质量标准（中文本），必须符合中国保健食品质量标准的格式。境外机构出具的证明文件应当经生产国（地区）的公证机构公证和中国</w:t>
      </w:r>
      <w:proofErr w:type="gramStart"/>
      <w:r>
        <w:rPr>
          <w:rFonts w:hint="eastAsia"/>
          <w:color w:val="333333"/>
        </w:rPr>
        <w:t>驻所在</w:t>
      </w:r>
      <w:proofErr w:type="gramEnd"/>
      <w:r>
        <w:rPr>
          <w:rFonts w:hint="eastAsia"/>
          <w:color w:val="333333"/>
        </w:rPr>
        <w:t>国使领馆确认。 </w:t>
      </w:r>
    </w:p>
    <w:p w14:paraId="721AEAD7" w14:textId="77777777" w:rsidR="006F27F6" w:rsidRDefault="006F27F6" w:rsidP="006F27F6">
      <w:pPr>
        <w:pStyle w:val="a4"/>
        <w:shd w:val="clear" w:color="auto" w:fill="FFFFFF"/>
        <w:spacing w:line="480" w:lineRule="auto"/>
        <w:jc w:val="both"/>
        <w:rPr>
          <w:rFonts w:hint="eastAsia"/>
          <w:color w:val="333333"/>
        </w:rPr>
      </w:pPr>
      <w:r>
        <w:rPr>
          <w:rFonts w:hint="eastAsia"/>
          <w:color w:val="333333"/>
        </w:rPr>
        <w:t xml:space="preserve">　　第七十五条  本办法自2016年7月1日起施行。2005年4月30日公布的《保健食品注册管理办法（试行）》（原国家食品药品监督管理局令第19号）同时废止。 </w:t>
      </w:r>
    </w:p>
    <w:p w14:paraId="15B5E559" w14:textId="77777777" w:rsidR="00DA2B71" w:rsidRPr="006F27F6" w:rsidRDefault="00DA2B71"/>
    <w:sectPr w:rsidR="00DA2B71" w:rsidRPr="006F27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A94167"/>
    <w:multiLevelType w:val="multilevel"/>
    <w:tmpl w:val="8546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85"/>
    <w:rsid w:val="002B0185"/>
    <w:rsid w:val="006F27F6"/>
    <w:rsid w:val="008B0146"/>
    <w:rsid w:val="0094104B"/>
    <w:rsid w:val="009619D5"/>
    <w:rsid w:val="00DA2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1365"/>
  <w15:chartTrackingRefBased/>
  <w15:docId w15:val="{5DCD9C3F-D6FB-41AB-AF55-007133CC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27F6"/>
    <w:rPr>
      <w:rFonts w:ascii="微软雅黑" w:eastAsia="微软雅黑" w:hAnsi="微软雅黑" w:hint="eastAsia"/>
      <w:strike w:val="0"/>
      <w:dstrike w:val="0"/>
      <w:color w:val="0000FF"/>
      <w:u w:val="none"/>
      <w:effect w:val="none"/>
    </w:rPr>
  </w:style>
  <w:style w:type="paragraph" w:styleId="a4">
    <w:name w:val="Normal (Web)"/>
    <w:basedOn w:val="a"/>
    <w:uiPriority w:val="99"/>
    <w:semiHidden/>
    <w:unhideWhenUsed/>
    <w:rsid w:val="006F27F6"/>
    <w:pPr>
      <w:widowControl/>
      <w:spacing w:before="100" w:beforeAutospacing="1" w:after="100" w:afterAutospacing="1"/>
      <w:jc w:val="left"/>
    </w:pPr>
    <w:rPr>
      <w:rFonts w:ascii="宋体" w:eastAsia="宋体" w:hAnsi="宋体" w:cs="宋体"/>
      <w:kern w:val="0"/>
      <w:sz w:val="24"/>
      <w:szCs w:val="24"/>
    </w:rPr>
  </w:style>
  <w:style w:type="paragraph" w:customStyle="1" w:styleId="ztxilan03">
    <w:name w:val="zt_xilan_03"/>
    <w:basedOn w:val="a"/>
    <w:rsid w:val="006F27F6"/>
    <w:pPr>
      <w:widowControl/>
      <w:spacing w:before="100" w:beforeAutospacing="1" w:after="100" w:afterAutospacing="1"/>
      <w:jc w:val="center"/>
    </w:pPr>
    <w:rPr>
      <w:rFonts w:ascii="微软雅黑" w:eastAsia="微软雅黑" w:hAnsi="微软雅黑" w:cs="宋体"/>
      <w:color w:val="333333"/>
      <w:kern w:val="0"/>
      <w:sz w:val="57"/>
      <w:szCs w:val="57"/>
    </w:rPr>
  </w:style>
  <w:style w:type="paragraph" w:customStyle="1" w:styleId="ztxilan04">
    <w:name w:val="zt_xilan_04"/>
    <w:basedOn w:val="a"/>
    <w:rsid w:val="006F27F6"/>
    <w:pPr>
      <w:widowControl/>
      <w:spacing w:before="100" w:beforeAutospacing="1" w:after="100" w:afterAutospacing="1"/>
      <w:jc w:val="center"/>
    </w:pPr>
    <w:rPr>
      <w:rFonts w:ascii="宋体" w:eastAsia="宋体" w:hAnsi="宋体" w:cs="宋体"/>
      <w:color w:val="808080"/>
      <w:kern w:val="0"/>
      <w:sz w:val="18"/>
      <w:szCs w:val="18"/>
    </w:rPr>
  </w:style>
  <w:style w:type="paragraph" w:customStyle="1" w:styleId="ztxilan05">
    <w:name w:val="zt_xilan_05"/>
    <w:basedOn w:val="a"/>
    <w:rsid w:val="006F27F6"/>
    <w:pPr>
      <w:widowControl/>
      <w:shd w:val="clear" w:color="auto" w:fill="D4D4D4"/>
      <w:spacing w:before="300"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58648">
      <w:bodyDiv w:val="1"/>
      <w:marLeft w:val="0"/>
      <w:marRight w:val="0"/>
      <w:marTop w:val="0"/>
      <w:marBottom w:val="0"/>
      <w:divBdr>
        <w:top w:val="none" w:sz="0" w:space="0" w:color="auto"/>
        <w:left w:val="none" w:sz="0" w:space="0" w:color="auto"/>
        <w:bottom w:val="none" w:sz="0" w:space="0" w:color="auto"/>
        <w:right w:val="none" w:sz="0" w:space="0" w:color="auto"/>
      </w:divBdr>
      <w:divsChild>
        <w:div w:id="1654794053">
          <w:marLeft w:val="0"/>
          <w:marRight w:val="0"/>
          <w:marTop w:val="0"/>
          <w:marBottom w:val="0"/>
          <w:divBdr>
            <w:top w:val="none" w:sz="0" w:space="0" w:color="auto"/>
            <w:left w:val="none" w:sz="0" w:space="0" w:color="auto"/>
            <w:bottom w:val="none" w:sz="0" w:space="0" w:color="auto"/>
            <w:right w:val="none" w:sz="0" w:space="0" w:color="auto"/>
          </w:divBdr>
          <w:divsChild>
            <w:div w:id="2140417500">
              <w:marLeft w:val="0"/>
              <w:marRight w:val="0"/>
              <w:marTop w:val="0"/>
              <w:marBottom w:val="0"/>
              <w:divBdr>
                <w:top w:val="none" w:sz="0" w:space="0" w:color="auto"/>
                <w:left w:val="none" w:sz="0" w:space="0" w:color="auto"/>
                <w:bottom w:val="none" w:sz="0" w:space="0" w:color="auto"/>
                <w:right w:val="none" w:sz="0" w:space="0" w:color="auto"/>
              </w:divBdr>
              <w:divsChild>
                <w:div w:id="1355379063">
                  <w:marLeft w:val="0"/>
                  <w:marRight w:val="0"/>
                  <w:marTop w:val="0"/>
                  <w:marBottom w:val="600"/>
                  <w:divBdr>
                    <w:top w:val="single" w:sz="6" w:space="0" w:color="D3DCEA"/>
                    <w:left w:val="single" w:sz="6" w:space="0" w:color="D3DCEA"/>
                    <w:bottom w:val="single" w:sz="6" w:space="0" w:color="D3DCEA"/>
                    <w:right w:val="single" w:sz="6" w:space="0" w:color="D3DCEA"/>
                  </w:divBdr>
                  <w:divsChild>
                    <w:div w:id="1342657550">
                      <w:marLeft w:val="0"/>
                      <w:marRight w:val="0"/>
                      <w:marTop w:val="0"/>
                      <w:marBottom w:val="0"/>
                      <w:divBdr>
                        <w:top w:val="none" w:sz="0" w:space="0" w:color="auto"/>
                        <w:left w:val="none" w:sz="0" w:space="0" w:color="auto"/>
                        <w:bottom w:val="none" w:sz="0" w:space="0" w:color="auto"/>
                        <w:right w:val="none" w:sz="0" w:space="0" w:color="auto"/>
                      </w:divBdr>
                      <w:divsChild>
                        <w:div w:id="668023487">
                          <w:marLeft w:val="0"/>
                          <w:marRight w:val="0"/>
                          <w:marTop w:val="0"/>
                          <w:marBottom w:val="0"/>
                          <w:divBdr>
                            <w:top w:val="none" w:sz="0" w:space="0" w:color="auto"/>
                            <w:left w:val="none" w:sz="0" w:space="0" w:color="auto"/>
                            <w:bottom w:val="none" w:sz="0" w:space="0" w:color="auto"/>
                            <w:right w:val="none" w:sz="0" w:space="0" w:color="auto"/>
                          </w:divBdr>
                          <w:divsChild>
                            <w:div w:id="733889765">
                              <w:marLeft w:val="0"/>
                              <w:marRight w:val="0"/>
                              <w:marTop w:val="0"/>
                              <w:marBottom w:val="0"/>
                              <w:divBdr>
                                <w:top w:val="none" w:sz="0" w:space="0" w:color="auto"/>
                                <w:left w:val="none" w:sz="0" w:space="0" w:color="auto"/>
                                <w:bottom w:val="none" w:sz="0" w:space="0" w:color="auto"/>
                                <w:right w:val="none" w:sz="0" w:space="0" w:color="auto"/>
                              </w:divBdr>
                              <w:divsChild>
                                <w:div w:id="2068794958">
                                  <w:marLeft w:val="0"/>
                                  <w:marRight w:val="0"/>
                                  <w:marTop w:val="0"/>
                                  <w:marBottom w:val="0"/>
                                  <w:divBdr>
                                    <w:top w:val="none" w:sz="0" w:space="0" w:color="auto"/>
                                    <w:left w:val="none" w:sz="0" w:space="0" w:color="auto"/>
                                    <w:bottom w:val="none" w:sz="0" w:space="0" w:color="auto"/>
                                    <w:right w:val="none" w:sz="0" w:space="0" w:color="auto"/>
                                  </w:divBdr>
                                  <w:divsChild>
                                    <w:div w:id="17253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1561</Words>
  <Characters>8900</Characters>
  <Application>Microsoft Office Word</Application>
  <DocSecurity>0</DocSecurity>
  <Lines>74</Lines>
  <Paragraphs>20</Paragraphs>
  <ScaleCrop>false</ScaleCrop>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lz</dc:creator>
  <cp:keywords/>
  <dc:description/>
  <cp:lastModifiedBy>z lz</cp:lastModifiedBy>
  <cp:revision>2</cp:revision>
  <dcterms:created xsi:type="dcterms:W3CDTF">2020-02-24T06:05:00Z</dcterms:created>
  <dcterms:modified xsi:type="dcterms:W3CDTF">2020-02-24T06:07:00Z</dcterms:modified>
</cp:coreProperties>
</file>