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288" w:lineRule="auto"/>
        <w:jc w:val="right"/>
        <w:rPr>
          <w:rFonts w:hint="default"/>
          <w:bCs/>
          <w:sz w:val="24"/>
          <w:szCs w:val="24"/>
          <w:lang w:val="en-US"/>
        </w:rPr>
      </w:pPr>
      <w:bookmarkStart w:id="0" w:name="_Ref281390207"/>
      <w:bookmarkStart w:id="1" w:name="_Toc281391704"/>
      <w:r>
        <w:rPr>
          <w:rFonts w:hint="eastAsia" w:ascii="宋体" w:hAnsi="宋体"/>
          <w:b/>
          <w:sz w:val="24"/>
          <w:szCs w:val="24"/>
        </w:rPr>
        <w:t xml:space="preserve">                                  </w:t>
      </w:r>
      <w:r>
        <w:rPr>
          <w:rFonts w:ascii="宋体" w:hAnsi="宋体"/>
          <w:b/>
          <w:sz w:val="24"/>
          <w:szCs w:val="24"/>
        </w:rPr>
        <w:t>合同编号：</w:t>
      </w:r>
      <w:r>
        <w:rPr>
          <w:rFonts w:ascii="宋体" w:hAnsi="宋体"/>
          <w:sz w:val="24"/>
          <w:szCs w:val="24"/>
        </w:rPr>
        <w:t xml:space="preserve"> </w:t>
      </w:r>
      <w:r>
        <w:rPr>
          <w:rFonts w:hint="eastAsia" w:ascii="宋体" w:hAnsi="宋体"/>
          <w:sz w:val="24"/>
          <w:szCs w:val="24"/>
          <w:lang w:val="en-US" w:eastAsia="zh-CN"/>
        </w:rPr>
        <w:t>GW</w:t>
      </w:r>
      <w:r>
        <w:rPr>
          <w:rFonts w:hint="eastAsia" w:ascii="宋体" w:hAnsi="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sz w:val="32"/>
          <w:szCs w:val="32"/>
        </w:rPr>
      </w:pPr>
      <w:r>
        <w:rPr>
          <w:rFonts w:hint="eastAsia"/>
          <w:b/>
          <w:sz w:val="32"/>
          <w:szCs w:val="32"/>
          <w:lang w:val="en-US" w:eastAsia="zh-CN"/>
        </w:rPr>
        <w:t>食品企业顾问</w:t>
      </w:r>
      <w:r>
        <w:rPr>
          <w:b/>
          <w:sz w:val="32"/>
          <w:szCs w:val="32"/>
        </w:rPr>
        <w:t>技术服务合同</w:t>
      </w:r>
    </w:p>
    <w:p>
      <w:pPr>
        <w:spacing w:line="288" w:lineRule="auto"/>
        <w:jc w:val="left"/>
        <w:rPr>
          <w:b/>
          <w:bCs/>
          <w:sz w:val="24"/>
          <w:szCs w:val="24"/>
        </w:rPr>
      </w:pPr>
    </w:p>
    <w:p>
      <w:pPr>
        <w:spacing w:line="288" w:lineRule="auto"/>
        <w:jc w:val="left"/>
        <w:rPr>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bCs/>
          <w:sz w:val="24"/>
          <w:szCs w:val="24"/>
          <w:u w:val="single"/>
        </w:rPr>
        <w:t xml:space="preserve">                     </w:t>
      </w:r>
      <w:r>
        <w:rPr>
          <w:rFonts w:hint="eastAsia"/>
          <w:bCs/>
          <w:sz w:val="24"/>
          <w:szCs w:val="24"/>
          <w:u w:val="single"/>
          <w:lang w:val="en-US" w:eastAsia="zh-CN"/>
        </w:rPr>
        <w:t xml:space="preserve">                                 </w:t>
      </w:r>
      <w:r>
        <w:rPr>
          <w:bCs/>
          <w:sz w:val="24"/>
          <w:szCs w:val="24"/>
          <w:u w:val="single"/>
        </w:rPr>
        <w:t xml:space="preserve"> </w:t>
      </w:r>
      <w:r>
        <w:rPr>
          <w:rFonts w:hint="eastAsia"/>
          <w:bCs/>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eastAsia="en-US"/>
        </w:rPr>
      </w:pPr>
      <w:r>
        <w:rPr>
          <w:rFonts w:hint="eastAsia" w:ascii="宋体" w:hAnsi="宋体" w:eastAsia="宋体" w:cs="宋体"/>
          <w:color w:val="000000"/>
          <w:sz w:val="24"/>
          <w:szCs w:val="24"/>
        </w:rPr>
        <w:t>电话：</w:t>
      </w:r>
      <w:r>
        <w:rPr>
          <w:bCs/>
          <w:sz w:val="24"/>
          <w:szCs w:val="24"/>
          <w:u w:val="single"/>
        </w:rPr>
        <w:t xml:space="preserve">                      </w:t>
      </w:r>
      <w:r>
        <w:rPr>
          <w:rFonts w:hint="eastAsia"/>
          <w:bCs/>
          <w:sz w:val="24"/>
          <w:szCs w:val="24"/>
          <w:u w:val="single"/>
        </w:rPr>
        <w:t xml:space="preserve">       </w:t>
      </w:r>
      <w:r>
        <w:rPr>
          <w:rFonts w:hint="eastAsia" w:ascii="宋体" w:hAnsi="宋体" w:eastAsia="宋体" w:cs="宋体"/>
          <w:color w:val="000000"/>
          <w:sz w:val="24"/>
          <w:szCs w:val="24"/>
          <w:lang w:eastAsia="en-US"/>
        </w:rPr>
        <w:t>电子邮箱及网络联系方式：</w:t>
      </w:r>
      <w:r>
        <w:rPr>
          <w:bCs/>
          <w:sz w:val="24"/>
          <w:szCs w:val="24"/>
          <w:u w:val="single"/>
        </w:rPr>
        <w:t xml:space="preserve">             </w:t>
      </w:r>
      <w:r>
        <w:rPr>
          <w:rFonts w:hint="eastAsia"/>
          <w:bCs/>
          <w:sz w:val="24"/>
          <w:szCs w:val="24"/>
          <w:u w:val="single"/>
        </w:rPr>
        <w:t xml:space="preserve">   </w:t>
      </w:r>
    </w:p>
    <w:p>
      <w:pPr>
        <w:spacing w:line="288" w:lineRule="auto"/>
        <w:jc w:val="left"/>
        <w:rPr>
          <w:rFonts w:hint="eastAsia"/>
          <w:b/>
          <w:bCs/>
          <w:sz w:val="24"/>
          <w:szCs w:val="24"/>
        </w:rPr>
      </w:pPr>
    </w:p>
    <w:p>
      <w:pPr>
        <w:spacing w:line="288" w:lineRule="auto"/>
        <w:jc w:val="left"/>
        <w:rPr>
          <w:b/>
          <w:bCs/>
          <w:sz w:val="24"/>
          <w:szCs w:val="24"/>
        </w:rPr>
      </w:pPr>
      <w:r>
        <w:rPr>
          <w:rFonts w:hint="eastAsia"/>
          <w:b/>
          <w:bCs/>
          <w:sz w:val="24"/>
          <w:szCs w:val="24"/>
        </w:rPr>
        <w:t>乙方（受托方）：北京正博和源科技有限公司</w:t>
      </w:r>
    </w:p>
    <w:p>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spacing w:line="288" w:lineRule="auto"/>
        <w:rPr>
          <w:bCs/>
          <w:sz w:val="24"/>
          <w:szCs w:val="24"/>
        </w:rPr>
      </w:pPr>
      <w:r>
        <w:rPr>
          <w:rFonts w:hint="eastAsia"/>
          <w:sz w:val="24"/>
          <w:szCs w:val="24"/>
        </w:rPr>
        <w:t>电子邮箱及</w:t>
      </w:r>
      <w:r>
        <w:rPr>
          <w:rFonts w:hint="eastAsia"/>
          <w:bCs/>
          <w:sz w:val="24"/>
          <w:szCs w:val="24"/>
        </w:rPr>
        <w:t>网络联系方式：</w:t>
      </w:r>
      <w:r>
        <w:rPr>
          <w:rFonts w:hint="eastAsia"/>
          <w:sz w:val="24"/>
          <w:szCs w:val="24"/>
          <w:u w:val="single"/>
          <w:lang w:val="en-US" w:eastAsia="zh-CN"/>
        </w:rPr>
        <w:t xml:space="preserve">   </w:t>
      </w:r>
      <w:r>
        <w:rPr>
          <w:rFonts w:hint="eastAsia"/>
          <w:sz w:val="24"/>
          <w:szCs w:val="24"/>
          <w:u w:val="single"/>
        </w:rPr>
        <w:t xml:space="preserve">                                            </w:t>
      </w:r>
    </w:p>
    <w:p>
      <w:pPr>
        <w:spacing w:line="288" w:lineRule="auto"/>
        <w:rPr>
          <w:sz w:val="24"/>
          <w:szCs w:val="24"/>
        </w:rPr>
      </w:pPr>
      <w:r>
        <w:rPr>
          <w:rFonts w:hint="eastAsia"/>
          <w:bCs/>
          <w:sz w:val="24"/>
          <w:szCs w:val="24"/>
        </w:rPr>
        <w:t>地址：北京市房山区良乡行宫西街</w:t>
      </w:r>
      <w:r>
        <w:rPr>
          <w:rFonts w:hint="eastAsia"/>
          <w:bCs/>
          <w:sz w:val="24"/>
          <w:szCs w:val="24"/>
          <w:lang w:val="en-US" w:eastAsia="zh-CN"/>
        </w:rPr>
        <w:t>1</w:t>
      </w:r>
      <w:bookmarkStart w:id="2" w:name="_GoBack"/>
      <w:bookmarkEnd w:id="2"/>
      <w:r>
        <w:rPr>
          <w:rFonts w:hint="eastAsia"/>
          <w:bCs/>
          <w:sz w:val="24"/>
          <w:szCs w:val="24"/>
        </w:rPr>
        <w:t>号院2号楼2</w:t>
      </w:r>
      <w:r>
        <w:rPr>
          <w:bCs/>
          <w:sz w:val="24"/>
          <w:szCs w:val="24"/>
        </w:rPr>
        <w:t>201室</w:t>
      </w:r>
    </w:p>
    <w:p>
      <w:pPr>
        <w:adjustRightInd w:val="0"/>
        <w:snapToGrid w:val="0"/>
        <w:spacing w:line="288" w:lineRule="auto"/>
        <w:rPr>
          <w:rFonts w:hAnsi="宋体"/>
          <w:sz w:val="24"/>
          <w:szCs w:val="24"/>
        </w:rPr>
      </w:pPr>
      <w:r>
        <w:rPr>
          <w:rFonts w:hint="eastAsia"/>
          <w:b/>
          <w:bCs/>
          <w:sz w:val="24"/>
          <w:szCs w:val="24"/>
        </w:rPr>
        <w:t>服务（投诉）电话： 400 008 2003</w:t>
      </w:r>
      <w:r>
        <w:rPr>
          <w:rFonts w:hint="eastAsia"/>
          <w:b/>
          <w:bCs/>
          <w:sz w:val="24"/>
          <w:szCs w:val="24"/>
          <w:lang w:val="en-US" w:eastAsia="zh-CN"/>
        </w:rPr>
        <w:t xml:space="preserve">   </w:t>
      </w:r>
      <w:r>
        <w:rPr>
          <w:rFonts w:hint="eastAsia" w:hAnsi="宋体"/>
          <w:sz w:val="24"/>
          <w:szCs w:val="24"/>
        </w:rPr>
        <w:t>公司网址：www.foodtest.cn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经甲乙双方协商一致，乙方为甲方提供</w:t>
      </w:r>
      <w:r>
        <w:rPr>
          <w:rFonts w:hint="eastAsia" w:ascii="宋体" w:hAnsi="宋体" w:eastAsia="宋体" w:cs="宋体"/>
          <w:color w:val="000000"/>
          <w:sz w:val="24"/>
          <w:szCs w:val="24"/>
          <w:lang w:val="en-US" w:eastAsia="zh-CN"/>
        </w:rPr>
        <w:t>企业</w:t>
      </w:r>
      <w:r>
        <w:rPr>
          <w:rFonts w:hint="eastAsia" w:ascii="宋体" w:hAnsi="宋体" w:eastAsia="宋体" w:cs="宋体"/>
          <w:color w:val="000000"/>
          <w:sz w:val="24"/>
          <w:szCs w:val="24"/>
        </w:rPr>
        <w:t>技术</w:t>
      </w:r>
      <w:r>
        <w:rPr>
          <w:rFonts w:hint="eastAsia" w:ascii="宋体" w:hAnsi="宋体" w:eastAsia="宋体" w:cs="宋体"/>
          <w:color w:val="000000"/>
          <w:sz w:val="24"/>
          <w:szCs w:val="24"/>
          <w:lang w:val="en-US" w:eastAsia="zh-CN"/>
        </w:rPr>
        <w:t>顾问</w:t>
      </w:r>
      <w:r>
        <w:rPr>
          <w:rFonts w:hint="eastAsia" w:ascii="宋体" w:hAnsi="宋体" w:eastAsia="宋体" w:cs="宋体"/>
          <w:color w:val="000000"/>
          <w:sz w:val="24"/>
          <w:szCs w:val="24"/>
        </w:rPr>
        <w:t>服务，按照《中华人民共和国合同法》要求，签订本合同。</w:t>
      </w:r>
    </w:p>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pacing w:val="1"/>
          <w:sz w:val="24"/>
          <w:szCs w:val="24"/>
        </w:rPr>
        <w:t>合同内容和范围</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乙方作为甲方的技术支持单位，为甲方提供以下技术服务：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1531"/>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top w:val="single" w:color="auto" w:sz="12" w:space="0"/>
              <w:left w:val="single" w:color="auto" w:sz="12" w:space="0"/>
            </w:tcBorders>
            <w:vAlign w:val="top"/>
          </w:tcPr>
          <w:p>
            <w:pPr>
              <w:pStyle w:val="17"/>
              <w:keepNext w:val="0"/>
              <w:keepLines w:val="0"/>
              <w:widowControl/>
              <w:suppressLineNumbers w:val="0"/>
              <w:spacing w:line="360" w:lineRule="auto"/>
              <w:jc w:val="center"/>
              <w:rPr>
                <w:rFonts w:hint="eastAsia" w:ascii="宋体" w:hAnsi="宋体" w:eastAsia="宋体" w:cs="宋体"/>
                <w:b/>
                <w:bCs w:val="0"/>
                <w:color w:val="000000"/>
                <w:sz w:val="21"/>
                <w:szCs w:val="21"/>
                <w:vertAlign w:val="baseline"/>
              </w:rPr>
            </w:pPr>
            <w:r>
              <w:rPr>
                <w:rFonts w:hint="eastAsia" w:ascii="宋体" w:hAnsi="宋体" w:eastAsia="宋体" w:cs="宋体"/>
                <w:b/>
                <w:bCs w:val="0"/>
                <w:color w:val="auto"/>
                <w:sz w:val="21"/>
                <w:szCs w:val="21"/>
              </w:rPr>
              <w:t>服务项目</w:t>
            </w:r>
          </w:p>
        </w:tc>
        <w:tc>
          <w:tcPr>
            <w:tcW w:w="1478" w:type="dxa"/>
            <w:tcBorders>
              <w:top w:val="single" w:color="auto" w:sz="12" w:space="0"/>
            </w:tcBorders>
            <w:vAlign w:val="top"/>
          </w:tcPr>
          <w:p>
            <w:pPr>
              <w:pStyle w:val="17"/>
              <w:keepNext w:val="0"/>
              <w:keepLines w:val="0"/>
              <w:widowControl/>
              <w:suppressLineNumbers w:val="0"/>
              <w:spacing w:line="360" w:lineRule="auto"/>
              <w:jc w:val="center"/>
              <w:rPr>
                <w:rFonts w:hint="eastAsia" w:ascii="宋体" w:hAnsi="宋体" w:eastAsia="宋体" w:cs="宋体"/>
                <w:b/>
                <w:bCs w:val="0"/>
                <w:color w:val="000000"/>
                <w:sz w:val="21"/>
                <w:szCs w:val="21"/>
                <w:vertAlign w:val="baseline"/>
              </w:rPr>
            </w:pPr>
            <w:r>
              <w:rPr>
                <w:rFonts w:hint="eastAsia" w:ascii="宋体" w:hAnsi="宋体" w:eastAsia="宋体" w:cs="宋体"/>
                <w:b/>
                <w:bCs w:val="0"/>
                <w:color w:val="auto"/>
                <w:sz w:val="21"/>
                <w:szCs w:val="21"/>
              </w:rPr>
              <w:t>数量</w:t>
            </w:r>
          </w:p>
        </w:tc>
        <w:tc>
          <w:tcPr>
            <w:tcW w:w="3069" w:type="dxa"/>
            <w:tcBorders>
              <w:top w:val="single" w:color="auto" w:sz="12" w:space="0"/>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b/>
                <w:bCs w:val="0"/>
                <w:color w:val="000000"/>
                <w:sz w:val="21"/>
                <w:szCs w:val="21"/>
                <w:vertAlign w:val="baseline"/>
                <w:lang w:val="en-US" w:eastAsia="zh-CN"/>
              </w:rPr>
            </w:pPr>
            <w:r>
              <w:rPr>
                <w:rFonts w:hint="eastAsia" w:ascii="宋体" w:hAnsi="宋体" w:cs="宋体"/>
                <w:b/>
                <w:bCs w:val="0"/>
                <w:color w:val="000000"/>
                <w:sz w:val="21"/>
                <w:szCs w:val="21"/>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食品标签专业审核</w:t>
            </w:r>
          </w:p>
        </w:tc>
        <w:tc>
          <w:tcPr>
            <w:tcW w:w="1478" w:type="dxa"/>
            <w:vAlign w:val="top"/>
          </w:tcPr>
          <w:p>
            <w:pPr>
              <w:pStyle w:val="17"/>
              <w:keepNext w:val="0"/>
              <w:keepLines w:val="0"/>
              <w:widowControl/>
              <w:suppressLineNumbers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≤20张</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超出部分按120元/张计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编制投诉应诉材料</w:t>
            </w:r>
          </w:p>
        </w:tc>
        <w:tc>
          <w:tcPr>
            <w:tcW w:w="1478" w:type="dxa"/>
            <w:vAlign w:val="top"/>
          </w:tcPr>
          <w:p>
            <w:pPr>
              <w:pStyle w:val="17"/>
              <w:keepNext w:val="0"/>
              <w:keepLines w:val="0"/>
              <w:widowControl/>
              <w:suppressLineNumbers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不限</w:t>
            </w:r>
            <w:r>
              <w:rPr>
                <w:rFonts w:hint="eastAsia" w:ascii="宋体" w:hAnsi="宋体" w:eastAsia="宋体" w:cs="宋体"/>
                <w:color w:val="000000"/>
                <w:kern w:val="2"/>
                <w:sz w:val="24"/>
                <w:szCs w:val="24"/>
                <w:lang w:val="en-US" w:eastAsia="zh-CN" w:bidi="ar-SA"/>
              </w:rPr>
              <w:t>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全年专业答疑</w:t>
            </w:r>
          </w:p>
        </w:tc>
        <w:tc>
          <w:tcPr>
            <w:tcW w:w="1478" w:type="dxa"/>
            <w:vAlign w:val="top"/>
          </w:tcPr>
          <w:p>
            <w:pPr>
              <w:pStyle w:val="17"/>
              <w:keepNext w:val="0"/>
              <w:keepLines w:val="0"/>
              <w:widowControl/>
              <w:suppressLineNumbers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不限次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参加乙方组织的公开课</w:t>
            </w:r>
          </w:p>
        </w:tc>
        <w:tc>
          <w:tcPr>
            <w:tcW w:w="1478" w:type="dxa"/>
            <w:vAlign w:val="top"/>
          </w:tcPr>
          <w:p>
            <w:pPr>
              <w:pStyle w:val="17"/>
              <w:keepNext w:val="0"/>
              <w:keepLines w:val="0"/>
              <w:widowControl/>
              <w:suppressLineNumbers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不限次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免费</w:t>
            </w:r>
            <w:r>
              <w:rPr>
                <w:rFonts w:hint="eastAsia" w:ascii="宋体" w:hAnsi="宋体" w:cs="宋体"/>
                <w:color w:val="000000"/>
                <w:kern w:val="2"/>
                <w:sz w:val="24"/>
                <w:szCs w:val="24"/>
                <w:lang w:val="en-US" w:eastAsia="zh-CN" w:bidi="ar-SA"/>
              </w:rPr>
              <w:t>，全年不超过20人次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到企业上门培训</w:t>
            </w:r>
          </w:p>
        </w:tc>
        <w:tc>
          <w:tcPr>
            <w:tcW w:w="1478" w:type="dxa"/>
            <w:vAlign w:val="top"/>
          </w:tcPr>
          <w:p>
            <w:pPr>
              <w:pStyle w:val="17"/>
              <w:keepNext w:val="0"/>
              <w:keepLines w:val="0"/>
              <w:widowControl/>
              <w:suppressLineNumbers w:val="0"/>
              <w:spacing w:line="360" w:lineRule="auto"/>
              <w:jc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超出部分按￥1500/日计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到企业进行第三方审核</w:t>
            </w:r>
          </w:p>
        </w:tc>
        <w:tc>
          <w:tcPr>
            <w:tcW w:w="1478" w:type="dxa"/>
            <w:vAlign w:val="top"/>
          </w:tcPr>
          <w:p>
            <w:pPr>
              <w:pStyle w:val="17"/>
              <w:keepNext w:val="0"/>
              <w:keepLines w:val="0"/>
              <w:widowControl/>
              <w:suppressLineNumbers w:val="0"/>
              <w:spacing w:line="360" w:lineRule="auto"/>
              <w:jc w:val="center"/>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超出部分按￥800/日计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为企业寻找委托方或者受委托方</w:t>
            </w:r>
          </w:p>
        </w:tc>
        <w:tc>
          <w:tcPr>
            <w:tcW w:w="1478" w:type="dxa"/>
            <w:vAlign w:val="top"/>
          </w:tcPr>
          <w:p>
            <w:pPr>
              <w:pStyle w:val="17"/>
              <w:keepNext w:val="0"/>
              <w:keepLines w:val="0"/>
              <w:widowControl/>
              <w:suppressLineNumbers w:val="0"/>
              <w:spacing w:line="360" w:lineRule="auto"/>
              <w:jc w:val="center"/>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不限次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eastAsia" w:ascii="宋体" w:hAnsi="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为企业发布招聘信息</w:t>
            </w:r>
          </w:p>
        </w:tc>
        <w:tc>
          <w:tcPr>
            <w:tcW w:w="1478" w:type="dxa"/>
            <w:vAlign w:val="top"/>
          </w:tcPr>
          <w:p>
            <w:pPr>
              <w:pStyle w:val="17"/>
              <w:keepNext w:val="0"/>
              <w:keepLines w:val="0"/>
              <w:widowControl/>
              <w:suppressLineNumbers w:val="0"/>
              <w:spacing w:line="360" w:lineRule="auto"/>
              <w:jc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不限次</w:t>
            </w:r>
          </w:p>
        </w:tc>
        <w:tc>
          <w:tcPr>
            <w:tcW w:w="3069" w:type="dxa"/>
            <w:tcBorders>
              <w:right w:val="single" w:color="auto" w:sz="12" w:space="0"/>
            </w:tcBorders>
            <w:vAlign w:val="top"/>
          </w:tcPr>
          <w:p>
            <w:pPr>
              <w:pStyle w:val="17"/>
              <w:keepNext w:val="0"/>
              <w:keepLines w:val="0"/>
              <w:widowControl/>
              <w:suppressLineNumbers w:val="0"/>
              <w:spacing w:line="360" w:lineRule="auto"/>
              <w:jc w:val="center"/>
              <w:rPr>
                <w:rFonts w:hint="default"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5" w:type="dxa"/>
            <w:tcBorders>
              <w:left w:val="single" w:color="auto" w:sz="12" w:space="0"/>
            </w:tcBorders>
            <w:vAlign w:val="top"/>
          </w:tcPr>
          <w:p>
            <w:pPr>
              <w:pStyle w:val="17"/>
              <w:keepNext w:val="0"/>
              <w:keepLines w:val="0"/>
              <w:widowControl/>
              <w:suppressLineNumbers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提供上下游信息衔接</w:t>
            </w:r>
          </w:p>
        </w:tc>
        <w:tc>
          <w:tcPr>
            <w:tcW w:w="1478" w:type="dxa"/>
            <w:vAlign w:val="top"/>
          </w:tcPr>
          <w:p>
            <w:pPr>
              <w:pStyle w:val="17"/>
              <w:keepNext w:val="0"/>
              <w:keepLines w:val="0"/>
              <w:widowControl/>
              <w:suppressLineNumbers w:val="0"/>
              <w:spacing w:line="360" w:lineRule="auto"/>
              <w:jc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不限次</w:t>
            </w:r>
          </w:p>
        </w:tc>
        <w:tc>
          <w:tcPr>
            <w:tcW w:w="3069" w:type="dxa"/>
            <w:tcBorders>
              <w:right w:val="single" w:color="auto" w:sz="12" w:space="0"/>
            </w:tcBorders>
            <w:vAlign w:val="top"/>
          </w:tcPr>
          <w:p>
            <w:pPr>
              <w:pStyle w:val="17"/>
              <w:keepNext w:val="0"/>
              <w:keepLines w:val="0"/>
              <w:widowControl/>
              <w:suppressLineNumbers w:val="0"/>
              <w:spacing w:line="360" w:lineRule="auto"/>
              <w:rPr>
                <w:rFonts w:hint="default"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tcBorders>
              <w:left w:val="single" w:color="auto" w:sz="12" w:space="0"/>
              <w:bottom w:val="single" w:color="auto" w:sz="12" w:space="0"/>
              <w:right w:val="single" w:color="auto" w:sz="12" w:space="0"/>
            </w:tcBorders>
            <w:vAlign w:val="top"/>
          </w:tcPr>
          <w:p>
            <w:pPr>
              <w:pStyle w:val="17"/>
              <w:keepNext w:val="0"/>
              <w:keepLines w:val="0"/>
              <w:widowControl/>
              <w:suppressLineNumbers w:val="0"/>
              <w:spacing w:line="360" w:lineRule="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说明：北京以外企业上门服务由客户承担差旅费。若乙方不使用本表中所提供的服务，乙方不按照本表所列的项目价值向甲方退款。</w:t>
            </w:r>
          </w:p>
        </w:tc>
      </w:tr>
    </w:tbl>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甲方指定</w:t>
      </w:r>
      <w:r>
        <w:rPr>
          <w:rFonts w:hint="eastAsia" w:ascii="宋体" w:hAnsi="宋体" w:cs="宋体"/>
          <w:color w:val="000000"/>
          <w:kern w:val="2"/>
          <w:sz w:val="24"/>
          <w:szCs w:val="24"/>
          <w:u w:val="single"/>
          <w:lang w:val="en-US" w:eastAsia="zh-CN" w:bidi="ar-SA"/>
        </w:rPr>
        <w:t xml:space="preserve">           </w:t>
      </w:r>
      <w:r>
        <w:rPr>
          <w:rFonts w:hint="eastAsia" w:ascii="宋体" w:hAnsi="宋体" w:eastAsia="宋体" w:cs="宋体"/>
          <w:color w:val="000000"/>
          <w:spacing w:val="-3"/>
          <w:sz w:val="24"/>
          <w:szCs w:val="24"/>
        </w:rPr>
        <w:t>为</w:t>
      </w:r>
      <w:r>
        <w:rPr>
          <w:rFonts w:hint="eastAsia" w:ascii="宋体" w:hAnsi="宋体" w:cs="宋体"/>
          <w:color w:val="000000"/>
          <w:spacing w:val="-3"/>
          <w:sz w:val="24"/>
          <w:szCs w:val="24"/>
          <w:lang w:val="en-US" w:eastAsia="zh-CN"/>
        </w:rPr>
        <w:t>本合同的</w:t>
      </w:r>
      <w:r>
        <w:rPr>
          <w:rFonts w:hint="eastAsia" w:ascii="宋体" w:hAnsi="宋体" w:eastAsia="宋体" w:cs="宋体"/>
          <w:color w:val="000000"/>
          <w:spacing w:val="-3"/>
          <w:sz w:val="24"/>
          <w:szCs w:val="24"/>
          <w:lang w:val="en-US" w:eastAsia="zh-CN"/>
        </w:rPr>
        <w:t>技术服务人员</w:t>
      </w:r>
      <w:r>
        <w:rPr>
          <w:rFonts w:hint="eastAsia" w:ascii="宋体" w:hAnsi="宋体" w:eastAsia="宋体" w:cs="宋体"/>
          <w:color w:val="000000"/>
          <w:spacing w:val="-3"/>
          <w:sz w:val="24"/>
          <w:szCs w:val="24"/>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乙方不得将甲方生产、经营状况及技术资料以任何方式泄露给第三方，但以下情况除外：</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应甲方要求公开的信息；</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甲方在本单位范围外已公开的资料；</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法律另有要求时；</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国家主管部门要求时；</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在甲方向乙方告知信息时，该信息已处于公众领域中；</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乙方已经独立开发的及未曾违反任何法律、法规的信息；</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在双方签订本合同以后并非由于乙方的过错而被公众所知的信息；</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乙方在未违反其对甲方承担的保密义务的情况下从第三方获得的信息。</w:t>
      </w:r>
    </w:p>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pacing w:val="1"/>
          <w:sz w:val="24"/>
          <w:szCs w:val="24"/>
        </w:rPr>
      </w:pPr>
      <w:r>
        <w:rPr>
          <w:rFonts w:hint="eastAsia" w:ascii="宋体" w:hAnsi="宋体" w:eastAsia="宋体" w:cs="宋体"/>
          <w:b/>
          <w:bCs/>
          <w:color w:val="000000"/>
          <w:spacing w:val="1"/>
          <w:sz w:val="24"/>
          <w:szCs w:val="24"/>
        </w:rPr>
        <w:t>合同费用及有效期限</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合同费用为每年人民币（大写</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整，￥</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lang w:val="en-US" w:eastAsia="zh-CN"/>
        </w:rPr>
        <w:t>甲方为乙方工作发生的差旅费用实报实销，由甲方承担。</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支付方式：采取按年付费的形式，合同签订后</w:t>
      </w:r>
      <w:r>
        <w:rPr>
          <w:rFonts w:hint="eastAsia" w:ascii="宋体" w:hAnsi="宋体" w:eastAsia="宋体" w:cs="宋体"/>
          <w:color w:val="000000"/>
          <w:sz w:val="24"/>
          <w:szCs w:val="24"/>
        </w:rPr>
        <w:t>10日内甲方支付前述合同款。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w:t>
      </w:r>
      <w:r>
        <w:rPr>
          <w:rFonts w:hint="eastAsia" w:ascii="宋体" w:hAnsi="宋体" w:cs="宋体"/>
          <w:color w:val="000000"/>
          <w:sz w:val="24"/>
          <w:szCs w:val="24"/>
          <w:lang w:val="en-US" w:eastAsia="zh-CN"/>
        </w:rPr>
        <w:t>自</w:t>
      </w:r>
      <w:r>
        <w:rPr>
          <w:rFonts w:hint="eastAsia" w:ascii="宋体" w:hAnsi="宋体" w:eastAsia="宋体" w:cs="宋体"/>
          <w:color w:val="000000"/>
          <w:spacing w:val="-3"/>
          <w:sz w:val="24"/>
          <w:szCs w:val="24"/>
        </w:rPr>
        <w:t>乙方收到</w:t>
      </w:r>
      <w:r>
        <w:rPr>
          <w:rFonts w:hint="eastAsia" w:ascii="宋体" w:hAnsi="宋体" w:cs="宋体"/>
          <w:color w:val="000000"/>
          <w:spacing w:val="-3"/>
          <w:sz w:val="24"/>
          <w:szCs w:val="24"/>
          <w:lang w:val="en-US" w:eastAsia="zh-CN"/>
        </w:rPr>
        <w:t>合同款</w:t>
      </w:r>
      <w:r>
        <w:rPr>
          <w:rFonts w:hint="eastAsia" w:ascii="宋体" w:hAnsi="宋体" w:eastAsia="宋体" w:cs="宋体"/>
          <w:color w:val="000000"/>
          <w:spacing w:val="-3"/>
          <w:sz w:val="24"/>
          <w:szCs w:val="24"/>
        </w:rPr>
        <w:t>之日起生效</w:t>
      </w:r>
      <w:r>
        <w:rPr>
          <w:rFonts w:hint="eastAsia" w:ascii="宋体" w:hAnsi="宋体" w:cs="宋体"/>
          <w:color w:val="000000"/>
          <w:spacing w:val="-3"/>
          <w:sz w:val="24"/>
          <w:szCs w:val="24"/>
          <w:lang w:eastAsia="zh-CN"/>
        </w:rPr>
        <w:t>，</w:t>
      </w:r>
      <w:r>
        <w:rPr>
          <w:rFonts w:hint="eastAsia" w:ascii="宋体" w:hAnsi="宋体" w:cs="宋体"/>
          <w:color w:val="000000"/>
          <w:spacing w:val="-3"/>
          <w:sz w:val="24"/>
          <w:szCs w:val="24"/>
          <w:lang w:val="en-US" w:eastAsia="zh-CN"/>
        </w:rPr>
        <w:t>合同有效期壹年</w:t>
      </w:r>
      <w:r>
        <w:rPr>
          <w:rFonts w:hint="eastAsia" w:ascii="宋体" w:hAnsi="宋体" w:eastAsia="宋体" w:cs="宋体"/>
          <w:color w:val="000000"/>
          <w:sz w:val="24"/>
          <w:szCs w:val="24"/>
        </w:rPr>
        <w:t>。</w:t>
      </w:r>
    </w:p>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pacing w:val="1"/>
          <w:sz w:val="24"/>
          <w:szCs w:val="24"/>
        </w:rPr>
      </w:pPr>
      <w:r>
        <w:rPr>
          <w:rFonts w:hint="eastAsia" w:ascii="宋体" w:hAnsi="宋体" w:eastAsia="宋体" w:cs="宋体"/>
          <w:b/>
          <w:bCs/>
          <w:color w:val="000000"/>
          <w:spacing w:val="1"/>
          <w:sz w:val="24"/>
          <w:szCs w:val="24"/>
        </w:rPr>
        <w:t>违约责任及争议解决办法</w:t>
      </w:r>
    </w:p>
    <w:p>
      <w:pPr>
        <w:keepNext w:val="0"/>
        <w:keepLines w:val="0"/>
        <w:pageBreakBefore w:val="0"/>
        <w:widowControl/>
        <w:numPr>
          <w:ilvl w:val="0"/>
          <w:numId w:val="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cs="宋体"/>
          <w:color w:val="000000"/>
          <w:spacing w:val="-1"/>
          <w:sz w:val="24"/>
          <w:szCs w:val="24"/>
          <w:lang w:val="en-US" w:eastAsia="zh-CN"/>
        </w:rPr>
        <w:t>若甲方对乙方提供的服务不满意</w:t>
      </w:r>
      <w:r>
        <w:rPr>
          <w:rFonts w:hint="eastAsia" w:ascii="宋体" w:hAnsi="宋体" w:eastAsia="宋体" w:cs="宋体"/>
          <w:color w:val="000000"/>
          <w:spacing w:val="-1"/>
          <w:sz w:val="24"/>
          <w:szCs w:val="24"/>
        </w:rPr>
        <w:t>，则</w:t>
      </w:r>
      <w:r>
        <w:rPr>
          <w:rFonts w:hint="eastAsia" w:ascii="宋体" w:hAnsi="宋体" w:cs="宋体"/>
          <w:color w:val="000000"/>
          <w:spacing w:val="-1"/>
          <w:sz w:val="24"/>
          <w:szCs w:val="24"/>
          <w:lang w:val="en-US" w:eastAsia="zh-CN"/>
        </w:rPr>
        <w:t>乙方向甲方退款，退款额=</w:t>
      </w:r>
      <w:r>
        <w:rPr>
          <w:rFonts w:hint="eastAsia" w:ascii="宋体" w:hAnsi="宋体" w:eastAsia="宋体" w:cs="宋体"/>
          <w:color w:val="000000"/>
          <w:spacing w:val="-1"/>
          <w:sz w:val="24"/>
          <w:szCs w:val="24"/>
        </w:rPr>
        <w:t>合同</w:t>
      </w:r>
      <w:r>
        <w:rPr>
          <w:rFonts w:hint="eastAsia" w:ascii="宋体" w:hAnsi="宋体" w:eastAsia="宋体" w:cs="宋体"/>
          <w:color w:val="000000"/>
          <w:sz w:val="24"/>
          <w:szCs w:val="24"/>
        </w:rPr>
        <w:t>剩余月</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u w:val="single"/>
          <w:lang w:val="en-US" w:eastAsia="zh-CN"/>
        </w:rPr>
        <w:t>合同款/12</w:t>
      </w:r>
      <w:r>
        <w:rPr>
          <w:rFonts w:hint="eastAsia" w:ascii="宋体" w:hAnsi="宋体" w:eastAsia="宋体" w:cs="宋体"/>
          <w:color w:val="000000"/>
          <w:sz w:val="24"/>
          <w:szCs w:val="24"/>
        </w:rPr>
        <w:t>，同时本合同终止。</w:t>
      </w:r>
    </w:p>
    <w:p>
      <w:pPr>
        <w:keepNext w:val="0"/>
        <w:keepLines w:val="0"/>
        <w:pageBreakBefore w:val="0"/>
        <w:widowControl/>
        <w:numPr>
          <w:ilvl w:val="0"/>
          <w:numId w:val="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如果因为乙方单方面技术原因，导致审核的标签出现问题，乙方须</w:t>
      </w:r>
      <w:r>
        <w:rPr>
          <w:rFonts w:hint="eastAsia" w:ascii="宋体" w:hAnsi="宋体" w:cs="宋体"/>
          <w:color w:val="000000"/>
          <w:spacing w:val="-1"/>
          <w:sz w:val="24"/>
          <w:szCs w:val="24"/>
          <w:lang w:val="en-US" w:eastAsia="zh-CN"/>
        </w:rPr>
        <w:t>协助</w:t>
      </w:r>
      <w:r>
        <w:rPr>
          <w:rFonts w:hint="eastAsia" w:ascii="宋体" w:hAnsi="宋体" w:eastAsia="宋体" w:cs="宋体"/>
          <w:color w:val="000000"/>
          <w:spacing w:val="-1"/>
          <w:sz w:val="24"/>
          <w:szCs w:val="24"/>
          <w:lang w:eastAsia="zh-CN"/>
        </w:rPr>
        <w:t>甲方解决。</w:t>
      </w:r>
    </w:p>
    <w:p>
      <w:pPr>
        <w:keepNext w:val="0"/>
        <w:keepLines w:val="0"/>
        <w:pageBreakBefore w:val="0"/>
        <w:widowControl/>
        <w:numPr>
          <w:ilvl w:val="0"/>
          <w:numId w:val="5"/>
        </w:numPr>
        <w:tabs>
          <w:tab w:val="left" w:pos="420"/>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MS Mincho"/>
          <w:color w:val="auto"/>
          <w:spacing w:val="7"/>
          <w:sz w:val="24"/>
          <w:szCs w:val="24"/>
          <w:highlight w:val="none"/>
          <w:lang w:eastAsia="zh-CN"/>
        </w:rPr>
      </w:pPr>
      <w:r>
        <w:rPr>
          <w:rFonts w:hint="eastAsia" w:ascii="宋体" w:hAnsi="宋体" w:eastAsia="宋体" w:cs="MS Mincho"/>
          <w:color w:val="auto"/>
          <w:spacing w:val="7"/>
          <w:sz w:val="24"/>
          <w:szCs w:val="24"/>
          <w:highlight w:val="none"/>
          <w:lang w:eastAsia="zh-CN"/>
        </w:rPr>
        <w:t>无论前款规定如何，甲方或乙方如有其他违约行为，违约方应当向守约方承担违约责任，但赔偿金额最高不超过</w:t>
      </w:r>
      <w:r>
        <w:rPr>
          <w:rFonts w:hint="eastAsia" w:ascii="宋体" w:hAnsi="宋体" w:cs="MS Mincho"/>
          <w:color w:val="auto"/>
          <w:spacing w:val="7"/>
          <w:sz w:val="24"/>
          <w:szCs w:val="24"/>
          <w:highlight w:val="none"/>
          <w:lang w:val="en-US" w:eastAsia="zh-CN"/>
        </w:rPr>
        <w:t>本合同额</w:t>
      </w:r>
      <w:r>
        <w:rPr>
          <w:rFonts w:hint="eastAsia" w:ascii="宋体" w:hAnsi="宋体" w:eastAsia="宋体" w:cs="MS Mincho"/>
          <w:color w:val="auto"/>
          <w:spacing w:val="7"/>
          <w:sz w:val="24"/>
          <w:szCs w:val="24"/>
          <w:highlight w:val="none"/>
          <w:lang w:eastAsia="zh-CN"/>
        </w:rPr>
        <w:t>。</w:t>
      </w:r>
    </w:p>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pacing w:val="1"/>
          <w:sz w:val="24"/>
          <w:szCs w:val="24"/>
        </w:rPr>
      </w:pPr>
      <w:r>
        <w:rPr>
          <w:rFonts w:hint="eastAsia" w:ascii="宋体" w:hAnsi="宋体" w:eastAsia="宋体" w:cs="宋体"/>
          <w:b/>
          <w:bCs/>
          <w:color w:val="000000"/>
          <w:spacing w:val="1"/>
          <w:sz w:val="24"/>
          <w:szCs w:val="24"/>
          <w:lang w:eastAsia="zh-CN"/>
        </w:rPr>
        <w:t>争议解决方法</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甲方未按照本合同约定支付</w:t>
      </w:r>
      <w:r>
        <w:rPr>
          <w:rFonts w:hint="eastAsia" w:ascii="宋体" w:hAnsi="宋体" w:cs="宋体"/>
          <w:color w:val="000000"/>
          <w:spacing w:val="-1"/>
          <w:sz w:val="24"/>
          <w:szCs w:val="24"/>
          <w:lang w:val="en-US" w:eastAsia="zh-CN"/>
        </w:rPr>
        <w:t>合同款的</w:t>
      </w:r>
      <w:r>
        <w:rPr>
          <w:rFonts w:hint="eastAsia" w:ascii="宋体" w:hAnsi="宋体" w:eastAsia="宋体" w:cs="宋体"/>
          <w:color w:val="000000"/>
          <w:spacing w:val="-1"/>
          <w:sz w:val="24"/>
          <w:szCs w:val="24"/>
        </w:rPr>
        <w:t>，乙方有权拒绝提供服务并不视为违约，因此造成的风险及责任由甲方承担。</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甲方及甲方所属人员不得对乙方提供服务</w:t>
      </w:r>
      <w:r>
        <w:rPr>
          <w:rFonts w:hint="eastAsia" w:ascii="宋体" w:hAnsi="宋体" w:cs="宋体"/>
          <w:color w:val="000000"/>
          <w:spacing w:val="-1"/>
          <w:sz w:val="24"/>
          <w:szCs w:val="24"/>
          <w:lang w:val="en-US" w:eastAsia="zh-CN"/>
        </w:rPr>
        <w:t>的技术</w:t>
      </w:r>
      <w:r>
        <w:rPr>
          <w:rFonts w:hint="eastAsia" w:ascii="宋体" w:hAnsi="宋体" w:eastAsia="宋体" w:cs="宋体"/>
          <w:color w:val="000000"/>
          <w:spacing w:val="-1"/>
          <w:sz w:val="24"/>
          <w:szCs w:val="24"/>
        </w:rPr>
        <w:t>人员进行任何辱骂等侵害人格权益的行为，否则，乙方有权解除本合同并不退还甲方已经支付的所有费用。</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甲方不得向乙方提供不合理、不合法的要求，否则，乙方有权拒绝提供服务</w:t>
      </w:r>
      <w:r>
        <w:rPr>
          <w:rFonts w:hint="eastAsia" w:ascii="宋体" w:hAnsi="宋体" w:eastAsia="宋体" w:cs="宋体"/>
          <w:color w:val="000000"/>
          <w:spacing w:val="-1"/>
          <w:sz w:val="24"/>
          <w:szCs w:val="24"/>
          <w:lang w:eastAsia="zh-CN"/>
        </w:rPr>
        <w:t>，</w:t>
      </w:r>
      <w:r>
        <w:rPr>
          <w:rFonts w:hint="eastAsia" w:ascii="宋体" w:hAnsi="宋体" w:eastAsia="宋体" w:cs="宋体"/>
          <w:color w:val="000000"/>
          <w:spacing w:val="-1"/>
          <w:sz w:val="24"/>
          <w:szCs w:val="24"/>
        </w:rPr>
        <w:t>并不视为违约。</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合同期内至合同期结束后3年内，禁止甲方采用高薪等手段私自聘用或者雇用为甲方提供服务的乙方人员，否则，乙方有权通过法律手段向甲方要求不低于该人员年薪的3倍赔偿。</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合同履行过程中若发生争议，双方应协商解决，协商不成，双方均可向乙方所在地的人民法院提起诉讼。</w:t>
      </w:r>
    </w:p>
    <w:p>
      <w:pPr>
        <w:keepNext w:val="0"/>
        <w:keepLines w:val="0"/>
        <w:pageBreakBefore w:val="0"/>
        <w:widowControl/>
        <w:numPr>
          <w:ilvl w:val="0"/>
          <w:numId w:val="6"/>
        </w:numPr>
        <w:tabs>
          <w:tab w:val="left" w:pos="397"/>
          <w:tab w:val="clear"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1"/>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。电子邮件有效。</w:t>
      </w:r>
    </w:p>
    <w:tbl>
      <w:tblPr>
        <w:tblStyle w:val="20"/>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6"/>
        <w:gridCol w:w="4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4256"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rPr>
              <w:t>甲方：</w:t>
            </w:r>
            <w:r>
              <w:rPr>
                <w:rFonts w:hint="eastAsia" w:ascii="宋体" w:hAnsi="宋体" w:eastAsia="宋体" w:cs="宋体"/>
                <w:color w:val="000000"/>
                <w:spacing w:val="-3"/>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甲方（签名或盖章有效）</w:t>
            </w:r>
            <w:r>
              <w:rPr>
                <w:rFonts w:hint="eastAsia" w:ascii="宋体" w:hAnsi="宋体" w:eastAsia="宋体" w:cs="宋体"/>
                <w:color w:val="000000"/>
                <w:spacing w:val="-3"/>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1404" w:firstLineChars="6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pacing w:val="-3"/>
                <w:sz w:val="24"/>
                <w:szCs w:val="24"/>
                <w:lang w:eastAsia="en-US"/>
              </w:rPr>
              <w:t xml:space="preserve">年 </w:t>
            </w:r>
            <w:r>
              <w:rPr>
                <w:rFonts w:hint="eastAsia" w:ascii="宋体" w:hAnsi="宋体" w:cs="宋体"/>
                <w:color w:val="000000"/>
                <w:spacing w:val="-3"/>
                <w:sz w:val="24"/>
                <w:szCs w:val="24"/>
                <w:lang w:val="en-US" w:eastAsia="zh-CN"/>
              </w:rPr>
              <w:t xml:space="preserve">   </w:t>
            </w:r>
            <w:r>
              <w:rPr>
                <w:rFonts w:hint="eastAsia" w:ascii="宋体" w:hAnsi="宋体" w:eastAsia="宋体" w:cs="宋体"/>
                <w:color w:val="000000"/>
                <w:spacing w:val="-3"/>
                <w:sz w:val="24"/>
                <w:szCs w:val="24"/>
                <w:lang w:eastAsia="en-US"/>
              </w:rPr>
              <w:t>月</w:t>
            </w:r>
            <w:r>
              <w:rPr>
                <w:rFonts w:hint="eastAsia" w:ascii="宋体" w:hAnsi="宋体" w:cs="宋体"/>
                <w:color w:val="000000"/>
                <w:spacing w:val="-3"/>
                <w:sz w:val="24"/>
                <w:szCs w:val="24"/>
                <w:lang w:val="en-US" w:eastAsia="zh-CN"/>
              </w:rPr>
              <w:t xml:space="preserve">   </w:t>
            </w:r>
            <w:r>
              <w:rPr>
                <w:rFonts w:hint="eastAsia" w:ascii="宋体" w:hAnsi="宋体" w:eastAsia="宋体" w:cs="宋体"/>
                <w:color w:val="000000"/>
                <w:spacing w:val="-3"/>
                <w:sz w:val="24"/>
                <w:szCs w:val="24"/>
                <w:lang w:eastAsia="en-US"/>
              </w:rPr>
              <w:t xml:space="preserve"> 日</w:t>
            </w:r>
          </w:p>
        </w:tc>
        <w:tc>
          <w:tcPr>
            <w:tcW w:w="425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乙方：北京正博和源科技有限公司</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乙方（签名或盖章有效）</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szCs w:val="24"/>
              </w:rPr>
            </w:pPr>
            <w:r>
              <w:rPr>
                <w:rFonts w:ascii="IUDQRL+ËÎÌå" w:hAnsi="IUDQRL+ËÎÌå" w:eastAsia="Times New Roman" w:cs="IUDQRL+ËÎÌå"/>
                <w:color w:val="000000"/>
                <w:sz w:val="24"/>
                <w:szCs w:val="24"/>
                <w:lang w:eastAsia="en-US"/>
              </w:rPr>
              <w:t>年</w:t>
            </w:r>
            <w:r>
              <w:rPr>
                <w:rFonts w:eastAsia="Times New Roman"/>
                <w:color w:val="000000"/>
                <w:spacing w:val="540"/>
                <w:sz w:val="24"/>
                <w:szCs w:val="24"/>
                <w:lang w:eastAsia="en-US"/>
              </w:rPr>
              <w:t xml:space="preserve"> </w:t>
            </w:r>
            <w:r>
              <w:rPr>
                <w:rFonts w:ascii="IUDQRL+ËÎÌå" w:hAnsi="IUDQRL+ËÎÌå" w:eastAsia="Times New Roman" w:cs="IUDQRL+ËÎÌå"/>
                <w:color w:val="000000"/>
                <w:sz w:val="24"/>
                <w:szCs w:val="24"/>
                <w:lang w:eastAsia="en-US"/>
              </w:rPr>
              <w:t>月</w:t>
            </w:r>
            <w:r>
              <w:rPr>
                <w:rFonts w:eastAsia="Times New Roman"/>
                <w:color w:val="000000"/>
                <w:spacing w:val="421"/>
                <w:sz w:val="24"/>
                <w:szCs w:val="24"/>
                <w:lang w:eastAsia="en-US"/>
              </w:rPr>
              <w:t xml:space="preserve"> </w:t>
            </w:r>
            <w:r>
              <w:rPr>
                <w:rFonts w:ascii="IUDQRL+ËÎÌå" w:hAnsi="IUDQRL+ËÎÌå" w:eastAsia="Times New Roman" w:cs="IUDQRL+ËÎÌå"/>
                <w:color w:val="000000"/>
                <w:sz w:val="24"/>
                <w:szCs w:val="24"/>
                <w:lang w:eastAsia="en-US"/>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56"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甲方增值税发票信息</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税号：</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账号：</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p>
        </w:tc>
        <w:tc>
          <w:tcPr>
            <w:tcW w:w="425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乙方收款信息</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开户行：农行北京房山城关支行</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账号：11-100101040013430</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税号：91110111695027022H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3"/>
                <w:sz w:val="24"/>
                <w:szCs w:val="24"/>
              </w:rPr>
            </w:pPr>
          </w:p>
        </w:tc>
      </w:tr>
    </w:tbl>
    <w:p>
      <w:pPr>
        <w:adjustRightInd w:val="0"/>
        <w:snapToGrid w:val="0"/>
        <w:spacing w:line="288" w:lineRule="auto"/>
        <w:rPr>
          <w:rFonts w:ascii="宋体" w:hAnsi="宋体"/>
          <w:bCs/>
          <w:sz w:val="24"/>
          <w:szCs w:val="24"/>
        </w:rPr>
      </w:pPr>
    </w:p>
    <w:p>
      <w:pPr>
        <w:adjustRightInd w:val="0"/>
        <w:snapToGrid w:val="0"/>
        <w:spacing w:line="288" w:lineRule="auto"/>
        <w:rPr>
          <w:rFonts w:ascii="宋体" w:hAnsi="宋体"/>
          <w:bCs/>
          <w:sz w:val="24"/>
          <w:szCs w:val="24"/>
        </w:rPr>
      </w:pPr>
    </w:p>
    <w:p>
      <w:pPr>
        <w:adjustRightInd w:val="0"/>
        <w:snapToGrid w:val="0"/>
        <w:spacing w:line="288" w:lineRule="auto"/>
        <w:rPr>
          <w:rFonts w:ascii="宋体" w:hAnsi="宋体"/>
          <w:bCs/>
          <w:sz w:val="24"/>
          <w:szCs w:val="24"/>
        </w:rPr>
      </w:pPr>
    </w:p>
    <w:bookmarkEnd w:id="0"/>
    <w:bookmarkEnd w:id="1"/>
    <w:p>
      <w:pPr>
        <w:spacing w:line="288" w:lineRule="auto"/>
        <w:rPr>
          <w:rFonts w:ascii="宋体" w:hAnsi="宋体"/>
          <w:bCs/>
          <w:sz w:val="24"/>
          <w:szCs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IUDQRL+ËÎÌå">
    <w:altName w:val="Segoe Print"/>
    <w:panose1 w:val="00000000000000000000"/>
    <w:charset w:val="01"/>
    <w:family w:val="auto"/>
    <w:pitch w:val="default"/>
    <w:sig w:usb0="00000000" w:usb1="00000000" w:usb2="01010101" w:usb3="01010101" w:csb0="01010101" w:csb1="01010101"/>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XmQa0BAABK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Z/n7vQh1pj0FDAtDbd+yJmjP6Izix4U2PxFOQTj&#10;2OfDubdySETkR8vFcllhSGBsuiAOe3keIKaP0luSjYYCDq/0lO8fYjqlTim5mvP32hj089q4Nw7E&#10;zB6WuZ84ZisNm2EkvvHtAfX0OPeGOlxMSswnh23NKzIZMBmbydgF0NsOqc0LrxhudglJFG65wgl2&#10;LIwDK+rG5cob8fpesl5+g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DvV5kGtAQAASgMA&#10;AA4AAAAAAAAAAQAgAAAAHgEAAGRycy9lMm9Eb2MueG1sUEsFBgAAAAAGAAYAWQEAAD0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B613A"/>
    <w:multiLevelType w:val="singleLevel"/>
    <w:tmpl w:val="824B613A"/>
    <w:lvl w:ilvl="0" w:tentative="0">
      <w:start w:val="1"/>
      <w:numFmt w:val="decimal"/>
      <w:suff w:val="space"/>
      <w:lvlText w:val="3.%1"/>
      <w:lvlJc w:val="left"/>
      <w:pPr>
        <w:tabs>
          <w:tab w:val="left" w:pos="0"/>
        </w:tabs>
        <w:ind w:left="0" w:leftChars="0" w:firstLine="0" w:firstLineChars="0"/>
      </w:pPr>
      <w:rPr>
        <w:rFonts w:hint="default"/>
      </w:rPr>
    </w:lvl>
  </w:abstractNum>
  <w:abstractNum w:abstractNumId="1">
    <w:nsid w:val="89747CF5"/>
    <w:multiLevelType w:val="singleLevel"/>
    <w:tmpl w:val="89747CF5"/>
    <w:lvl w:ilvl="0" w:tentative="0">
      <w:start w:val="1"/>
      <w:numFmt w:val="decimal"/>
      <w:suff w:val="space"/>
      <w:lvlText w:val="4.%1"/>
      <w:lvlJc w:val="left"/>
      <w:pPr>
        <w:tabs>
          <w:tab w:val="left" w:pos="0"/>
        </w:tabs>
        <w:ind w:left="0" w:leftChars="0" w:firstLine="0" w:firstLineChars="0"/>
      </w:pPr>
      <w:rPr>
        <w:rFonts w:hint="default"/>
      </w:rPr>
    </w:lvl>
  </w:abstractNum>
  <w:abstractNum w:abstractNumId="2">
    <w:nsid w:val="ACAF0384"/>
    <w:multiLevelType w:val="singleLevel"/>
    <w:tmpl w:val="ACAF0384"/>
    <w:lvl w:ilvl="0" w:tentative="0">
      <w:start w:val="1"/>
      <w:numFmt w:val="decimal"/>
      <w:suff w:val="space"/>
      <w:lvlText w:val="%1"/>
      <w:lvlJc w:val="left"/>
      <w:pPr>
        <w:tabs>
          <w:tab w:val="left" w:pos="0"/>
        </w:tabs>
        <w:ind w:left="0" w:leftChars="0" w:firstLine="0" w:firstLineChars="0"/>
      </w:pPr>
      <w:rPr>
        <w:rFonts w:hint="default"/>
      </w:rPr>
    </w:lvl>
  </w:abstractNum>
  <w:abstractNum w:abstractNumId="3">
    <w:nsid w:val="EDE1426F"/>
    <w:multiLevelType w:val="multilevel"/>
    <w:tmpl w:val="EDE1426F"/>
    <w:lvl w:ilvl="0" w:tentative="0">
      <w:start w:val="1"/>
      <w:numFmt w:val="decimal"/>
      <w:suff w:val="space"/>
      <w:lvlText w:val="2.%1"/>
      <w:lvlJc w:val="left"/>
      <w:pPr>
        <w:tabs>
          <w:tab w:val="left" w:pos="420"/>
        </w:tabs>
        <w:ind w:left="0" w:leftChars="0" w:firstLine="0" w:firstLineChars="0"/>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FCBD02D6"/>
    <w:multiLevelType w:val="multilevel"/>
    <w:tmpl w:val="FCBD02D6"/>
    <w:lvl w:ilvl="0" w:tentative="0">
      <w:start w:val="1"/>
      <w:numFmt w:val="decimal"/>
      <w:suff w:val="space"/>
      <w:lvlText w:val="1.%1"/>
      <w:lvlJc w:val="left"/>
      <w:pPr>
        <w:tabs>
          <w:tab w:val="left" w:pos="0"/>
        </w:tabs>
        <w:ind w:left="0" w:leftChars="0" w:firstLine="0" w:firstLineChars="0"/>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23C69086"/>
    <w:multiLevelType w:val="singleLevel"/>
    <w:tmpl w:val="23C69086"/>
    <w:lvl w:ilvl="0" w:tentative="0">
      <w:start w:val="1"/>
      <w:numFmt w:val="decimal"/>
      <w:suff w:val="space"/>
      <w:lvlText w:val="(%1)"/>
      <w:lvlJc w:val="left"/>
      <w:pPr>
        <w:tabs>
          <w:tab w:val="left" w:pos="0"/>
        </w:tabs>
        <w:ind w:left="0" w:leftChars="0" w:firstLine="0" w:firstLineChars="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40C"/>
    <w:rsid w:val="00037B2D"/>
    <w:rsid w:val="000941B4"/>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54DB1"/>
    <w:rsid w:val="00D85EB3"/>
    <w:rsid w:val="00DA2FAE"/>
    <w:rsid w:val="00DB25BC"/>
    <w:rsid w:val="00DC3CD0"/>
    <w:rsid w:val="00E10C0F"/>
    <w:rsid w:val="00E41E29"/>
    <w:rsid w:val="00E55AD5"/>
    <w:rsid w:val="00E64813"/>
    <w:rsid w:val="00E659C9"/>
    <w:rsid w:val="00E922FB"/>
    <w:rsid w:val="00EA2A60"/>
    <w:rsid w:val="00ED6C1A"/>
    <w:rsid w:val="00F179AA"/>
    <w:rsid w:val="00F4289A"/>
    <w:rsid w:val="00F578E4"/>
    <w:rsid w:val="00F804E7"/>
    <w:rsid w:val="00FC29EF"/>
    <w:rsid w:val="00FD19EC"/>
    <w:rsid w:val="00FD5366"/>
    <w:rsid w:val="021C6183"/>
    <w:rsid w:val="034104E4"/>
    <w:rsid w:val="03C05B71"/>
    <w:rsid w:val="03C3303C"/>
    <w:rsid w:val="03DF12E7"/>
    <w:rsid w:val="04102CC0"/>
    <w:rsid w:val="043A06FC"/>
    <w:rsid w:val="052E6A0B"/>
    <w:rsid w:val="079315CB"/>
    <w:rsid w:val="07AF778E"/>
    <w:rsid w:val="08043FB5"/>
    <w:rsid w:val="08E97AAB"/>
    <w:rsid w:val="09097FE0"/>
    <w:rsid w:val="09230B8A"/>
    <w:rsid w:val="09681F4E"/>
    <w:rsid w:val="09BB3687"/>
    <w:rsid w:val="09F43460"/>
    <w:rsid w:val="0A9B4EF3"/>
    <w:rsid w:val="0AC940BF"/>
    <w:rsid w:val="0C41432A"/>
    <w:rsid w:val="0EF663CD"/>
    <w:rsid w:val="0F162B4E"/>
    <w:rsid w:val="1058445F"/>
    <w:rsid w:val="105B53E4"/>
    <w:rsid w:val="10717588"/>
    <w:rsid w:val="11353F06"/>
    <w:rsid w:val="123E0DFD"/>
    <w:rsid w:val="135C7F4F"/>
    <w:rsid w:val="136256DC"/>
    <w:rsid w:val="13932CFB"/>
    <w:rsid w:val="13C80904"/>
    <w:rsid w:val="15221E3A"/>
    <w:rsid w:val="15892AE3"/>
    <w:rsid w:val="15A937D4"/>
    <w:rsid w:val="162C19E8"/>
    <w:rsid w:val="170809D5"/>
    <w:rsid w:val="17B82D77"/>
    <w:rsid w:val="180608F8"/>
    <w:rsid w:val="18F35385"/>
    <w:rsid w:val="19724132"/>
    <w:rsid w:val="19BA7045"/>
    <w:rsid w:val="1A072300"/>
    <w:rsid w:val="1AC4759E"/>
    <w:rsid w:val="1C660159"/>
    <w:rsid w:val="1E34141D"/>
    <w:rsid w:val="1E9B02BE"/>
    <w:rsid w:val="1EFF6567"/>
    <w:rsid w:val="1FED4921"/>
    <w:rsid w:val="200B1957"/>
    <w:rsid w:val="201B5A3A"/>
    <w:rsid w:val="2350557D"/>
    <w:rsid w:val="2412563B"/>
    <w:rsid w:val="247622AF"/>
    <w:rsid w:val="25A847D7"/>
    <w:rsid w:val="261751E8"/>
    <w:rsid w:val="26EC15EB"/>
    <w:rsid w:val="27547D16"/>
    <w:rsid w:val="2821529E"/>
    <w:rsid w:val="28D44EB3"/>
    <w:rsid w:val="28E608EC"/>
    <w:rsid w:val="29A92769"/>
    <w:rsid w:val="2A2A3FBC"/>
    <w:rsid w:val="2BD07B70"/>
    <w:rsid w:val="2D5D05FB"/>
    <w:rsid w:val="2DBA7937"/>
    <w:rsid w:val="2E793240"/>
    <w:rsid w:val="2FDA2B8D"/>
    <w:rsid w:val="30FB5E9D"/>
    <w:rsid w:val="32316565"/>
    <w:rsid w:val="32383048"/>
    <w:rsid w:val="32391A18"/>
    <w:rsid w:val="32B357E3"/>
    <w:rsid w:val="32E20DA2"/>
    <w:rsid w:val="332D41D4"/>
    <w:rsid w:val="33CD1809"/>
    <w:rsid w:val="3439693A"/>
    <w:rsid w:val="344F68DF"/>
    <w:rsid w:val="34866A39"/>
    <w:rsid w:val="35006703"/>
    <w:rsid w:val="36771768"/>
    <w:rsid w:val="372C7F91"/>
    <w:rsid w:val="37417F37"/>
    <w:rsid w:val="37FE3B6D"/>
    <w:rsid w:val="38111509"/>
    <w:rsid w:val="383E6B55"/>
    <w:rsid w:val="39321FE4"/>
    <w:rsid w:val="39D114EA"/>
    <w:rsid w:val="3A9315A8"/>
    <w:rsid w:val="3B4B0D56"/>
    <w:rsid w:val="3BE2474D"/>
    <w:rsid w:val="3BF94372"/>
    <w:rsid w:val="3C5E539B"/>
    <w:rsid w:val="3C627EFF"/>
    <w:rsid w:val="3D0C2F35"/>
    <w:rsid w:val="405939A2"/>
    <w:rsid w:val="4124436F"/>
    <w:rsid w:val="41313685"/>
    <w:rsid w:val="41490D2C"/>
    <w:rsid w:val="42DE6BC4"/>
    <w:rsid w:val="43B030C1"/>
    <w:rsid w:val="44065FFA"/>
    <w:rsid w:val="441273BB"/>
    <w:rsid w:val="44616D40"/>
    <w:rsid w:val="44DA7903"/>
    <w:rsid w:val="452E738D"/>
    <w:rsid w:val="45A176CC"/>
    <w:rsid w:val="45AB3EAD"/>
    <w:rsid w:val="45EB25B4"/>
    <w:rsid w:val="45FB4989"/>
    <w:rsid w:val="46BC589A"/>
    <w:rsid w:val="46F6477A"/>
    <w:rsid w:val="46F76979"/>
    <w:rsid w:val="471A4CA5"/>
    <w:rsid w:val="473C166C"/>
    <w:rsid w:val="474E4E09"/>
    <w:rsid w:val="47552596"/>
    <w:rsid w:val="47DF3235"/>
    <w:rsid w:val="47EE148F"/>
    <w:rsid w:val="4B1A19C7"/>
    <w:rsid w:val="4B3115EC"/>
    <w:rsid w:val="4C55724C"/>
    <w:rsid w:val="4D39613E"/>
    <w:rsid w:val="4DCF7234"/>
    <w:rsid w:val="4F2449E5"/>
    <w:rsid w:val="4F832800"/>
    <w:rsid w:val="50AF7D6F"/>
    <w:rsid w:val="516D3625"/>
    <w:rsid w:val="524C0A95"/>
    <w:rsid w:val="52940E89"/>
    <w:rsid w:val="530733C6"/>
    <w:rsid w:val="54B34707"/>
    <w:rsid w:val="550A1892"/>
    <w:rsid w:val="5571253B"/>
    <w:rsid w:val="55FB6C1C"/>
    <w:rsid w:val="56790861"/>
    <w:rsid w:val="56A106AF"/>
    <w:rsid w:val="56C5092E"/>
    <w:rsid w:val="57245405"/>
    <w:rsid w:val="578D73B3"/>
    <w:rsid w:val="584D45A5"/>
    <w:rsid w:val="59F511FF"/>
    <w:rsid w:val="5ACD2D08"/>
    <w:rsid w:val="5B6339CA"/>
    <w:rsid w:val="5B9D5655"/>
    <w:rsid w:val="5C307052"/>
    <w:rsid w:val="5C9D7700"/>
    <w:rsid w:val="5CAF301B"/>
    <w:rsid w:val="5DB13D45"/>
    <w:rsid w:val="5DFB763C"/>
    <w:rsid w:val="604C2EB7"/>
    <w:rsid w:val="60AE592B"/>
    <w:rsid w:val="61FD68D2"/>
    <w:rsid w:val="62BE13C8"/>
    <w:rsid w:val="63F87992"/>
    <w:rsid w:val="64BE0654"/>
    <w:rsid w:val="64C228DE"/>
    <w:rsid w:val="650520CD"/>
    <w:rsid w:val="65D7170B"/>
    <w:rsid w:val="66483DB3"/>
    <w:rsid w:val="67731E47"/>
    <w:rsid w:val="677F14DD"/>
    <w:rsid w:val="680A7DBC"/>
    <w:rsid w:val="69374FAB"/>
    <w:rsid w:val="6A6D5027"/>
    <w:rsid w:val="6AB4579C"/>
    <w:rsid w:val="6AB60C9F"/>
    <w:rsid w:val="6B5A17AD"/>
    <w:rsid w:val="6B776B5F"/>
    <w:rsid w:val="6C42752C"/>
    <w:rsid w:val="6C4C203A"/>
    <w:rsid w:val="6CF769FE"/>
    <w:rsid w:val="6D545365"/>
    <w:rsid w:val="6DDD321C"/>
    <w:rsid w:val="6EA9791B"/>
    <w:rsid w:val="6EC76ECB"/>
    <w:rsid w:val="7058733F"/>
    <w:rsid w:val="708B60AD"/>
    <w:rsid w:val="71275730"/>
    <w:rsid w:val="71D83356"/>
    <w:rsid w:val="72D75477"/>
    <w:rsid w:val="73912327"/>
    <w:rsid w:val="73E05929"/>
    <w:rsid w:val="74481E55"/>
    <w:rsid w:val="75653527"/>
    <w:rsid w:val="75733B41"/>
    <w:rsid w:val="75876F5E"/>
    <w:rsid w:val="75F02B32"/>
    <w:rsid w:val="761B77D2"/>
    <w:rsid w:val="77CB0438"/>
    <w:rsid w:val="78476C85"/>
    <w:rsid w:val="78FC788A"/>
    <w:rsid w:val="79063A1D"/>
    <w:rsid w:val="793D02F4"/>
    <w:rsid w:val="7A4E6458"/>
    <w:rsid w:val="7BA060AE"/>
    <w:rsid w:val="7CAF571D"/>
    <w:rsid w:val="7CDA73D8"/>
    <w:rsid w:val="7D186D1B"/>
    <w:rsid w:val="7E360C91"/>
    <w:rsid w:val="7F3D3659"/>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Char"/>
    <w:link w:val="9"/>
    <w:qFormat/>
    <w:uiPriority w:val="0"/>
    <w:rPr>
      <w:kern w:val="2"/>
      <w:sz w:val="18"/>
      <w:szCs w:val="18"/>
    </w:rPr>
  </w:style>
  <w:style w:type="character" w:customStyle="1" w:styleId="29">
    <w:name w:val="批注框文本 Char"/>
    <w:link w:val="8"/>
    <w:qFormat/>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Char"/>
    <w:link w:val="4"/>
    <w:qFormat/>
    <w:uiPriority w:val="0"/>
    <w:rPr>
      <w:kern w:val="2"/>
      <w:sz w:val="21"/>
    </w:rPr>
  </w:style>
  <w:style w:type="character" w:customStyle="1" w:styleId="36">
    <w:name w:val="批注主题 Char"/>
    <w:link w:val="18"/>
    <w:qFormat/>
    <w:uiPriority w:val="0"/>
    <w:rPr>
      <w:kern w:val="2"/>
      <w:sz w:val="21"/>
    </w:rPr>
  </w:style>
  <w:style w:type="paragraph" w:customStyle="1" w:styleId="37">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459</Words>
  <Characters>2622</Characters>
  <Lines>21</Lines>
  <Paragraphs>6</Paragraphs>
  <TotalTime>1</TotalTime>
  <ScaleCrop>false</ScaleCrop>
  <LinksUpToDate>false</LinksUpToDate>
  <CharactersWithSpaces>3075</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2016-09-05T02:05:00Z</dcterms:created>
  <dc:creator>user</dc:creator>
  <cp:lastModifiedBy>老刘</cp:lastModifiedBy>
  <cp:lastPrinted>2018-03-10T02:53:00Z</cp:lastPrinted>
  <dcterms:modified xsi:type="dcterms:W3CDTF">2020-03-25T03:03:51Z</dcterms:modified>
  <dc:title>中天诺亚提交材料清单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